
<file path=[Content_Types].xml><?xml version="1.0" encoding="utf-8"?>
<Types xmlns="http://schemas.openxmlformats.org/package/2006/content-types"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D481" w14:textId="77777777" w:rsidR="00B343CE" w:rsidRPr="00337583" w:rsidRDefault="00D01CA6" w:rsidP="00B34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583">
        <w:rPr>
          <w:rFonts w:ascii="Times New Roman" w:hAnsi="Times New Roman" w:cs="Times New Roman"/>
          <w:b/>
          <w:sz w:val="32"/>
          <w:szCs w:val="32"/>
        </w:rPr>
        <w:t xml:space="preserve">Отчет главы муниципального образования </w:t>
      </w:r>
    </w:p>
    <w:p w14:paraId="6848286F" w14:textId="2EFDF3DA" w:rsidR="00D01CA6" w:rsidRPr="00337583" w:rsidRDefault="006D055D" w:rsidP="00B34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583">
        <w:rPr>
          <w:rFonts w:ascii="Times New Roman" w:hAnsi="Times New Roman" w:cs="Times New Roman"/>
          <w:b/>
          <w:sz w:val="32"/>
          <w:szCs w:val="32"/>
        </w:rPr>
        <w:t>Зеленоградского городского</w:t>
      </w:r>
      <w:r w:rsidR="00D01CA6" w:rsidRPr="00337583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Pr="00337583">
        <w:rPr>
          <w:rFonts w:ascii="Times New Roman" w:hAnsi="Times New Roman" w:cs="Times New Roman"/>
          <w:b/>
          <w:sz w:val="32"/>
          <w:szCs w:val="32"/>
        </w:rPr>
        <w:t>а</w:t>
      </w:r>
      <w:r w:rsidR="00D01CA6" w:rsidRPr="003375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43CE" w:rsidRPr="00337583">
        <w:rPr>
          <w:rFonts w:ascii="Times New Roman" w:hAnsi="Times New Roman" w:cs="Times New Roman"/>
          <w:b/>
          <w:sz w:val="32"/>
          <w:szCs w:val="32"/>
        </w:rPr>
        <w:t xml:space="preserve">Кулакова С.В. </w:t>
      </w:r>
      <w:r w:rsidR="00D01CA6" w:rsidRPr="00337583">
        <w:rPr>
          <w:rFonts w:ascii="Times New Roman" w:hAnsi="Times New Roman" w:cs="Times New Roman"/>
          <w:b/>
          <w:sz w:val="32"/>
          <w:szCs w:val="32"/>
        </w:rPr>
        <w:t>за 20</w:t>
      </w:r>
      <w:r w:rsidR="00B11269">
        <w:rPr>
          <w:rFonts w:ascii="Times New Roman" w:hAnsi="Times New Roman" w:cs="Times New Roman"/>
          <w:b/>
          <w:sz w:val="32"/>
          <w:szCs w:val="32"/>
        </w:rPr>
        <w:t>20</w:t>
      </w:r>
      <w:r w:rsidR="00D01CA6" w:rsidRPr="0033758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4A685882" w14:textId="77777777" w:rsidR="00B343CE" w:rsidRPr="00037093" w:rsidRDefault="00B343CE" w:rsidP="00B343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442356" w14:textId="1D68F794" w:rsidR="00D01CA6" w:rsidRDefault="00C577C0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517C66">
        <w:rPr>
          <w:rFonts w:ascii="Times New Roman" w:hAnsi="Times New Roman" w:cs="Times New Roman"/>
          <w:sz w:val="28"/>
          <w:szCs w:val="28"/>
        </w:rPr>
        <w:t xml:space="preserve"> 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   В соответствии с действующим законодательством, Уставом муниципального образования «Зеленоградский городской округ»</w:t>
      </w:r>
      <w:r w:rsidR="006D055D" w:rsidRPr="00826801">
        <w:rPr>
          <w:rFonts w:ascii="Times New Roman" w:hAnsi="Times New Roman" w:cs="Times New Roman"/>
          <w:sz w:val="28"/>
          <w:szCs w:val="28"/>
        </w:rPr>
        <w:t xml:space="preserve"> Калининградской области (далее-Устав Зеленоградского городского округа) представляю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своей деятельности и деятельности окружного Совета депутатов </w:t>
      </w:r>
      <w:r w:rsidR="006D055D" w:rsidRPr="00826801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 w:rsidR="00D01CA6" w:rsidRPr="00826801">
        <w:rPr>
          <w:rFonts w:ascii="Times New Roman" w:hAnsi="Times New Roman" w:cs="Times New Roman"/>
          <w:sz w:val="28"/>
          <w:szCs w:val="28"/>
        </w:rPr>
        <w:t>за 20</w:t>
      </w:r>
      <w:r w:rsidR="0024415F">
        <w:rPr>
          <w:rFonts w:ascii="Times New Roman" w:hAnsi="Times New Roman" w:cs="Times New Roman"/>
          <w:sz w:val="28"/>
          <w:szCs w:val="28"/>
        </w:rPr>
        <w:t>20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1579BB0" w14:textId="452250C3" w:rsidR="00536A7D" w:rsidRDefault="00536A7D" w:rsidP="00536A7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сведения</w:t>
      </w:r>
    </w:p>
    <w:p w14:paraId="0080EAE5" w14:textId="77777777" w:rsidR="00536A7D" w:rsidRDefault="00D01CA6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</w:t>
      </w:r>
      <w:r w:rsidR="00536A7D" w:rsidRPr="00536A7D">
        <w:rPr>
          <w:rFonts w:ascii="Times New Roman" w:hAnsi="Times New Roman" w:cs="Times New Roman"/>
          <w:sz w:val="28"/>
          <w:szCs w:val="28"/>
        </w:rPr>
        <w:t>Окружной Совет депутатов является представительным органом Зеленоградского городского округа, состоящим из 20 депутатов, избираемых населением на муниципальных выборах по смешанной системе распределения мандатов на основе всеобщего, равного и прямого избирательного права, при тайном голосовании сроком на 5 (пять) лет.</w:t>
      </w:r>
    </w:p>
    <w:p w14:paraId="3DCC18CD" w14:textId="6A8A4FA2" w:rsidR="006D055D" w:rsidRDefault="00536A7D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CA6" w:rsidRPr="00826801">
        <w:rPr>
          <w:rFonts w:ascii="Times New Roman" w:hAnsi="Times New Roman" w:cs="Times New Roman"/>
          <w:sz w:val="28"/>
          <w:szCs w:val="28"/>
        </w:rPr>
        <w:t>Согласно Уставу</w:t>
      </w:r>
      <w:r w:rsidR="006D055D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D01CA6" w:rsidRPr="00826801">
        <w:rPr>
          <w:rFonts w:ascii="Times New Roman" w:hAnsi="Times New Roman" w:cs="Times New Roman"/>
          <w:sz w:val="28"/>
          <w:szCs w:val="28"/>
        </w:rPr>
        <w:t>Зеленоградск</w:t>
      </w:r>
      <w:r w:rsidR="006D055D" w:rsidRPr="00826801">
        <w:rPr>
          <w:rFonts w:ascii="Times New Roman" w:hAnsi="Times New Roman" w:cs="Times New Roman"/>
          <w:sz w:val="28"/>
          <w:szCs w:val="28"/>
        </w:rPr>
        <w:t>ого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055D" w:rsidRPr="00826801">
        <w:rPr>
          <w:rFonts w:ascii="Times New Roman" w:hAnsi="Times New Roman" w:cs="Times New Roman"/>
          <w:sz w:val="28"/>
          <w:szCs w:val="28"/>
        </w:rPr>
        <w:t>го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055D" w:rsidRPr="00826801">
        <w:rPr>
          <w:rFonts w:ascii="Times New Roman" w:hAnsi="Times New Roman" w:cs="Times New Roman"/>
          <w:sz w:val="28"/>
          <w:szCs w:val="28"/>
        </w:rPr>
        <w:t>а,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является высшим должностным лицом муниципального образования и исполняет полномочия председателя окружного Совета депутатов</w:t>
      </w:r>
      <w:r w:rsidR="006D055D" w:rsidRPr="00826801">
        <w:rPr>
          <w:rFonts w:ascii="Times New Roman" w:hAnsi="Times New Roman" w:cs="Times New Roman"/>
          <w:sz w:val="28"/>
          <w:szCs w:val="28"/>
        </w:rPr>
        <w:t xml:space="preserve"> Зеленоградского городского округа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исполняет свои полномочия на постоянной основе.</w:t>
      </w:r>
    </w:p>
    <w:p w14:paraId="580C5B21" w14:textId="038F3A55" w:rsidR="00D01CA6" w:rsidRDefault="00536A7D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55D" w:rsidRPr="00826801">
        <w:rPr>
          <w:rFonts w:ascii="Times New Roman" w:hAnsi="Times New Roman" w:cs="Times New Roman"/>
          <w:sz w:val="28"/>
          <w:szCs w:val="28"/>
        </w:rPr>
        <w:t xml:space="preserve">  </w:t>
      </w:r>
      <w:r w:rsidR="00D01CA6" w:rsidRPr="00826801">
        <w:rPr>
          <w:rFonts w:ascii="Times New Roman" w:hAnsi="Times New Roman" w:cs="Times New Roman"/>
          <w:sz w:val="28"/>
          <w:szCs w:val="28"/>
        </w:rPr>
        <w:t>Окружной Совет депутатов Зеленоградск</w:t>
      </w:r>
      <w:r w:rsidR="006D055D" w:rsidRPr="00826801">
        <w:rPr>
          <w:rFonts w:ascii="Times New Roman" w:hAnsi="Times New Roman" w:cs="Times New Roman"/>
          <w:sz w:val="28"/>
          <w:szCs w:val="28"/>
        </w:rPr>
        <w:t>ого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055D" w:rsidRPr="00826801">
        <w:rPr>
          <w:rFonts w:ascii="Times New Roman" w:hAnsi="Times New Roman" w:cs="Times New Roman"/>
          <w:sz w:val="28"/>
          <w:szCs w:val="28"/>
        </w:rPr>
        <w:t>го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055D" w:rsidRPr="00826801">
        <w:rPr>
          <w:rFonts w:ascii="Times New Roman" w:hAnsi="Times New Roman" w:cs="Times New Roman"/>
          <w:sz w:val="28"/>
          <w:szCs w:val="28"/>
        </w:rPr>
        <w:t>а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5D1C92" w:rsidRPr="00826801">
        <w:rPr>
          <w:rFonts w:ascii="Times New Roman" w:hAnsi="Times New Roman" w:cs="Times New Roman"/>
          <w:sz w:val="28"/>
          <w:szCs w:val="28"/>
        </w:rPr>
        <w:t>(далее</w:t>
      </w:r>
      <w:r w:rsidR="00F142EE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5D1C92" w:rsidRPr="00826801">
        <w:rPr>
          <w:rFonts w:ascii="Times New Roman" w:hAnsi="Times New Roman" w:cs="Times New Roman"/>
          <w:sz w:val="28"/>
          <w:szCs w:val="28"/>
        </w:rPr>
        <w:t xml:space="preserve">- окружной Совет депутатов) 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в соответствии с Конституцией РФ, законодательством Российской Федерации, законодательством Калининградской области, а также в соответствии с Уставом </w:t>
      </w:r>
      <w:r w:rsidR="006D055D" w:rsidRPr="00826801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11CE3" w14:textId="1C5A656F" w:rsidR="004F047F" w:rsidRPr="00826801" w:rsidRDefault="004F047F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Работа окружного Совета депутатов осуществляется в различных формах. Основными формами деятельности</w:t>
      </w:r>
      <w:r w:rsidR="006259D4" w:rsidRPr="00826801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Pr="0082680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2403F44E" w14:textId="1644DCEA" w:rsidR="004F047F" w:rsidRPr="00826801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>-разработка</w:t>
      </w:r>
      <w:r w:rsidR="00536A7D">
        <w:rPr>
          <w:rFonts w:ascii="Times New Roman" w:hAnsi="Times New Roman" w:cs="Times New Roman"/>
          <w:sz w:val="28"/>
          <w:szCs w:val="28"/>
        </w:rPr>
        <w:t xml:space="preserve"> и принятие нормативно-правовых актов</w:t>
      </w:r>
      <w:r w:rsidRPr="008268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FAE593" w14:textId="6F06615B" w:rsidR="004F047F" w:rsidRPr="00826801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-анализ проектов нормативно-правовых актов, выносимых на рассмотрение окружного Совета депутатов, подготовка замечаний, предложений по рассматриваемым проектам; </w:t>
      </w:r>
    </w:p>
    <w:p w14:paraId="625BD901" w14:textId="52F20454" w:rsidR="004F047F" w:rsidRPr="00826801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-прием населения и содействие в решении вопросов местного значения; </w:t>
      </w:r>
    </w:p>
    <w:p w14:paraId="4D4DFB7E" w14:textId="357857F8" w:rsidR="004F047F" w:rsidRPr="00826801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-проведение заседаний </w:t>
      </w:r>
      <w:r w:rsidR="00536A7D"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комиссий, </w:t>
      </w:r>
      <w:r w:rsidRPr="00826801">
        <w:rPr>
          <w:rFonts w:ascii="Times New Roman" w:hAnsi="Times New Roman" w:cs="Times New Roman"/>
          <w:sz w:val="28"/>
          <w:szCs w:val="28"/>
        </w:rPr>
        <w:t xml:space="preserve">окружного Совета депутатов; </w:t>
      </w:r>
    </w:p>
    <w:p w14:paraId="26B7AF98" w14:textId="43B5F51A" w:rsidR="004F047F" w:rsidRPr="00826801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>-контроль за исполнением ранее принятых решений Совета депутатов.</w:t>
      </w:r>
    </w:p>
    <w:p w14:paraId="0C0AF452" w14:textId="77777777" w:rsidR="00536A7D" w:rsidRPr="00536A7D" w:rsidRDefault="007C51D9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6B35F0" w14:textId="12511017" w:rsidR="007C51D9" w:rsidRDefault="00536A7D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1D9" w:rsidRPr="00826801">
        <w:rPr>
          <w:rFonts w:ascii="Times New Roman" w:hAnsi="Times New Roman" w:cs="Times New Roman"/>
          <w:sz w:val="28"/>
          <w:szCs w:val="28"/>
        </w:rPr>
        <w:t>Главной задачей окружного Совета депутатов заключается в создании и постоянном совершенствовании необходимой для развития городского округа правовой базы, направленной на решение вопросов местного значения.</w:t>
      </w:r>
    </w:p>
    <w:p w14:paraId="4AE2ECEA" w14:textId="77777777" w:rsidR="00536A7D" w:rsidRPr="00536A7D" w:rsidRDefault="00536A7D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27CEB6B" w14:textId="77777777" w:rsidR="00536A7D" w:rsidRDefault="00D01CA6" w:rsidP="0033758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FA7785" w14:textId="76BF2143" w:rsidR="00536A7D" w:rsidRDefault="00536A7D" w:rsidP="0033758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D6C1076" w14:textId="77777777" w:rsidR="00037093" w:rsidRDefault="00037093" w:rsidP="0033758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7950B86" w14:textId="30DC47C0" w:rsidR="00536A7D" w:rsidRPr="00536A7D" w:rsidRDefault="00536A7D" w:rsidP="00536A7D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A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Нормотворческая деятельность окружного Совета депутатов</w:t>
      </w:r>
    </w:p>
    <w:p w14:paraId="759514A1" w14:textId="6A05B83F" w:rsidR="007C51D9" w:rsidRPr="00826801" w:rsidRDefault="006259D4" w:rsidP="0033758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>О</w:t>
      </w:r>
      <w:r w:rsidR="007C51D9" w:rsidRPr="00826801">
        <w:rPr>
          <w:rFonts w:ascii="Times New Roman" w:hAnsi="Times New Roman" w:cs="Times New Roman"/>
          <w:sz w:val="28"/>
          <w:szCs w:val="28"/>
        </w:rPr>
        <w:t>рганизационно-правовой формой работы окружного Совета депутатов являются засед</w:t>
      </w:r>
      <w:r w:rsidR="000C7535" w:rsidRPr="00826801">
        <w:rPr>
          <w:rFonts w:ascii="Times New Roman" w:hAnsi="Times New Roman" w:cs="Times New Roman"/>
          <w:sz w:val="28"/>
          <w:szCs w:val="28"/>
        </w:rPr>
        <w:t>ания</w:t>
      </w:r>
      <w:r w:rsidR="00536A7D">
        <w:rPr>
          <w:rFonts w:ascii="Times New Roman" w:hAnsi="Times New Roman" w:cs="Times New Roman"/>
          <w:sz w:val="28"/>
          <w:szCs w:val="28"/>
        </w:rPr>
        <w:t xml:space="preserve"> представительного органа, которые проводятся согласно утвержденному на календарный год плану работы.</w:t>
      </w:r>
      <w:r w:rsidR="007C51D9" w:rsidRPr="0082680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5A3751" w14:textId="4DF28265" w:rsidR="00F142EE" w:rsidRDefault="00F142EE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 </w:t>
      </w:r>
    </w:p>
    <w:p w14:paraId="3B28B151" w14:textId="787A3C33" w:rsidR="00E874F0" w:rsidRDefault="00F142EE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Проведенные в 20</w:t>
      </w:r>
      <w:r w:rsidR="00B11269">
        <w:rPr>
          <w:rFonts w:ascii="Times New Roman" w:hAnsi="Times New Roman" w:cs="Times New Roman"/>
          <w:sz w:val="28"/>
          <w:szCs w:val="28"/>
        </w:rPr>
        <w:t>20</w:t>
      </w:r>
      <w:r w:rsidRPr="00826801">
        <w:rPr>
          <w:rFonts w:ascii="Times New Roman" w:hAnsi="Times New Roman" w:cs="Times New Roman"/>
          <w:sz w:val="28"/>
          <w:szCs w:val="28"/>
        </w:rPr>
        <w:t xml:space="preserve"> году заседания окружного Совета депутатов были открытыми и носили публичный характер. </w:t>
      </w:r>
    </w:p>
    <w:p w14:paraId="04645F46" w14:textId="60A76A79" w:rsidR="00536A7D" w:rsidRDefault="00536A7D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2020 год пришлась работ</w:t>
      </w:r>
      <w:r w:rsidR="00F20F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двух созывов окружного Совета депутатов. Окружной Совет депутатов второго созыва был избран 13 сентября 2020 года</w:t>
      </w:r>
      <w:r w:rsidR="00C514AD">
        <w:rPr>
          <w:rFonts w:ascii="Times New Roman" w:hAnsi="Times New Roman" w:cs="Times New Roman"/>
          <w:sz w:val="28"/>
          <w:szCs w:val="28"/>
        </w:rPr>
        <w:t>.</w:t>
      </w:r>
    </w:p>
    <w:p w14:paraId="2ABA3918" w14:textId="19F8BB5F" w:rsidR="00C514AD" w:rsidRDefault="00C514AD" w:rsidP="00C51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первом созыве окружного Совета депутатов в 2020 году было проведено 11 заседаний, рассмотрено 37 вопросов. Из </w:t>
      </w:r>
      <w:r w:rsidR="00856566">
        <w:rPr>
          <w:rFonts w:ascii="Times New Roman" w:hAnsi="Times New Roman" w:cs="Times New Roman"/>
          <w:sz w:val="28"/>
          <w:szCs w:val="28"/>
        </w:rPr>
        <w:t>них 9 решений</w:t>
      </w:r>
      <w:r>
        <w:rPr>
          <w:rFonts w:ascii="Times New Roman" w:hAnsi="Times New Roman" w:cs="Times New Roman"/>
          <w:sz w:val="28"/>
          <w:szCs w:val="28"/>
        </w:rPr>
        <w:t xml:space="preserve"> носят нормативный характер.</w:t>
      </w:r>
    </w:p>
    <w:p w14:paraId="452D156D" w14:textId="151E2EFB" w:rsidR="00C514AD" w:rsidRDefault="00C514AD" w:rsidP="00C51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566">
        <w:rPr>
          <w:rFonts w:ascii="Times New Roman" w:hAnsi="Times New Roman" w:cs="Times New Roman"/>
          <w:sz w:val="28"/>
          <w:szCs w:val="28"/>
        </w:rPr>
        <w:t xml:space="preserve">Окружным Советом депутатов второго созыва </w:t>
      </w:r>
      <w:r w:rsidR="0085656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856566">
        <w:rPr>
          <w:rFonts w:ascii="Times New Roman" w:hAnsi="Times New Roman" w:cs="Times New Roman"/>
          <w:sz w:val="28"/>
          <w:szCs w:val="28"/>
        </w:rPr>
        <w:t>было проведено 5 заседаний. Принято 54 решения</w:t>
      </w:r>
      <w:r w:rsidR="005679E8">
        <w:rPr>
          <w:rFonts w:ascii="Times New Roman" w:hAnsi="Times New Roman" w:cs="Times New Roman"/>
          <w:sz w:val="28"/>
          <w:szCs w:val="28"/>
        </w:rPr>
        <w:t>, из</w:t>
      </w:r>
      <w:r w:rsidRPr="00856566">
        <w:rPr>
          <w:rFonts w:ascii="Times New Roman" w:hAnsi="Times New Roman" w:cs="Times New Roman"/>
          <w:sz w:val="28"/>
          <w:szCs w:val="28"/>
        </w:rPr>
        <w:t xml:space="preserve"> них </w:t>
      </w:r>
      <w:r w:rsidR="00856566" w:rsidRPr="00856566">
        <w:rPr>
          <w:rFonts w:ascii="Times New Roman" w:hAnsi="Times New Roman" w:cs="Times New Roman"/>
          <w:sz w:val="28"/>
          <w:szCs w:val="28"/>
        </w:rPr>
        <w:t>19 н</w:t>
      </w:r>
      <w:r w:rsidRPr="00856566">
        <w:rPr>
          <w:rFonts w:ascii="Times New Roman" w:hAnsi="Times New Roman" w:cs="Times New Roman"/>
          <w:sz w:val="28"/>
          <w:szCs w:val="28"/>
        </w:rPr>
        <w:t>ормативно-правового характера</w:t>
      </w:r>
      <w:r w:rsidR="00856566">
        <w:rPr>
          <w:rFonts w:ascii="Times New Roman" w:hAnsi="Times New Roman" w:cs="Times New Roman"/>
          <w:sz w:val="28"/>
          <w:szCs w:val="28"/>
        </w:rPr>
        <w:t>.</w:t>
      </w:r>
    </w:p>
    <w:p w14:paraId="77F06501" w14:textId="77777777" w:rsidR="004F5012" w:rsidRDefault="004F5012" w:rsidP="004F5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Депутатская деятельность заключается не только в проведении заседаний, много времени занимает предварительное изучение и обсуждение проектов нормативных правовых актов. С этой целью в</w:t>
      </w:r>
      <w:r w:rsidR="00856566">
        <w:rPr>
          <w:rFonts w:ascii="Times New Roman" w:hAnsi="Times New Roman" w:cs="Times New Roman"/>
          <w:sz w:val="28"/>
          <w:szCs w:val="28"/>
        </w:rPr>
        <w:t xml:space="preserve"> о</w:t>
      </w:r>
      <w:r w:rsidR="00856566" w:rsidRPr="00856566">
        <w:rPr>
          <w:rFonts w:ascii="Times New Roman" w:hAnsi="Times New Roman" w:cs="Times New Roman"/>
          <w:sz w:val="28"/>
          <w:szCs w:val="28"/>
        </w:rPr>
        <w:t>кружн</w:t>
      </w:r>
      <w:r w:rsidR="00856566">
        <w:rPr>
          <w:rFonts w:ascii="Times New Roman" w:hAnsi="Times New Roman" w:cs="Times New Roman"/>
          <w:sz w:val="28"/>
          <w:szCs w:val="28"/>
        </w:rPr>
        <w:t>ом</w:t>
      </w:r>
      <w:r w:rsidR="00856566" w:rsidRPr="0085656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56566">
        <w:rPr>
          <w:rFonts w:ascii="Times New Roman" w:hAnsi="Times New Roman" w:cs="Times New Roman"/>
          <w:sz w:val="28"/>
          <w:szCs w:val="28"/>
        </w:rPr>
        <w:t>е</w:t>
      </w:r>
      <w:r w:rsidR="00856566" w:rsidRPr="00856566">
        <w:rPr>
          <w:rFonts w:ascii="Times New Roman" w:hAnsi="Times New Roman" w:cs="Times New Roman"/>
          <w:sz w:val="28"/>
          <w:szCs w:val="28"/>
        </w:rPr>
        <w:t xml:space="preserve"> депутатов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856566" w:rsidRPr="00856566">
        <w:rPr>
          <w:rFonts w:ascii="Times New Roman" w:hAnsi="Times New Roman" w:cs="Times New Roman"/>
          <w:sz w:val="28"/>
          <w:szCs w:val="28"/>
        </w:rPr>
        <w:t xml:space="preserve"> </w:t>
      </w:r>
      <w:r w:rsidR="00D01CA6" w:rsidRPr="00826801">
        <w:rPr>
          <w:rFonts w:ascii="Times New Roman" w:hAnsi="Times New Roman" w:cs="Times New Roman"/>
          <w:sz w:val="28"/>
          <w:szCs w:val="28"/>
        </w:rPr>
        <w:t>образован</w:t>
      </w:r>
      <w:r w:rsidR="00856566">
        <w:rPr>
          <w:rFonts w:ascii="Times New Roman" w:hAnsi="Times New Roman" w:cs="Times New Roman"/>
          <w:sz w:val="28"/>
          <w:szCs w:val="28"/>
        </w:rPr>
        <w:t>ы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AF53DE">
        <w:rPr>
          <w:rFonts w:ascii="Times New Roman" w:hAnsi="Times New Roman" w:cs="Times New Roman"/>
          <w:sz w:val="28"/>
          <w:szCs w:val="28"/>
        </w:rPr>
        <w:t>3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AF53DE">
        <w:rPr>
          <w:rFonts w:ascii="Times New Roman" w:hAnsi="Times New Roman" w:cs="Times New Roman"/>
          <w:sz w:val="28"/>
          <w:szCs w:val="28"/>
        </w:rPr>
        <w:t>е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депутатски</w:t>
      </w:r>
      <w:r w:rsidR="00AF53DE">
        <w:rPr>
          <w:rFonts w:ascii="Times New Roman" w:hAnsi="Times New Roman" w:cs="Times New Roman"/>
          <w:sz w:val="28"/>
          <w:szCs w:val="28"/>
        </w:rPr>
        <w:t>е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56566">
        <w:rPr>
          <w:rFonts w:ascii="Times New Roman" w:hAnsi="Times New Roman" w:cs="Times New Roman"/>
          <w:sz w:val="28"/>
          <w:szCs w:val="28"/>
        </w:rPr>
        <w:t>:</w:t>
      </w:r>
    </w:p>
    <w:p w14:paraId="2ABC840A" w14:textId="76856E96" w:rsidR="005679E8" w:rsidRDefault="00856566" w:rsidP="004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801">
        <w:rPr>
          <w:rFonts w:ascii="Times New Roman" w:hAnsi="Times New Roman" w:cs="Times New Roman"/>
          <w:sz w:val="28"/>
          <w:szCs w:val="28"/>
        </w:rPr>
        <w:t>комиссия по местному самоуправлению, законодательству, регламенту, социальным вопросам и связям с общественностью;</w:t>
      </w:r>
    </w:p>
    <w:p w14:paraId="1E0C08B0" w14:textId="6F04EB1C" w:rsidR="00856566" w:rsidRPr="00826801" w:rsidRDefault="00856566" w:rsidP="004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826801">
        <w:rPr>
          <w:rFonts w:ascii="Times New Roman" w:hAnsi="Times New Roman" w:cs="Times New Roman"/>
          <w:sz w:val="28"/>
          <w:szCs w:val="28"/>
        </w:rPr>
        <w:t>комиссия по финансам, бюджету, экономическому развитию и муниципальной собственности;</w:t>
      </w:r>
    </w:p>
    <w:p w14:paraId="4EB616E9" w14:textId="280D05E6" w:rsidR="00856566" w:rsidRPr="00826801" w:rsidRDefault="00856566" w:rsidP="004F5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801">
        <w:rPr>
          <w:rFonts w:ascii="Times New Roman" w:hAnsi="Times New Roman" w:cs="Times New Roman"/>
          <w:sz w:val="28"/>
          <w:szCs w:val="28"/>
        </w:rPr>
        <w:t>комиссия по ЖКХ,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6801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801">
        <w:rPr>
          <w:rFonts w:ascii="Times New Roman" w:hAnsi="Times New Roman" w:cs="Times New Roman"/>
          <w:sz w:val="28"/>
          <w:szCs w:val="28"/>
        </w:rPr>
        <w:t xml:space="preserve"> развитию курортной зоны,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E3D095" w14:textId="77777777" w:rsidR="005679E8" w:rsidRPr="005679E8" w:rsidRDefault="005679E8" w:rsidP="003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3D09B" w14:textId="263B2E99" w:rsidR="00D01CA6" w:rsidRPr="00826801" w:rsidRDefault="005679E8" w:rsidP="0033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    </w:t>
      </w:r>
      <w:r w:rsidR="00AF53DE">
        <w:rPr>
          <w:rFonts w:ascii="Times New Roman" w:hAnsi="Times New Roman" w:cs="Times New Roman"/>
          <w:sz w:val="28"/>
          <w:szCs w:val="28"/>
        </w:rPr>
        <w:t>С</w:t>
      </w:r>
      <w:r w:rsidR="00FE23B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20</w:t>
      </w:r>
      <w:r w:rsidR="00B11269">
        <w:rPr>
          <w:rFonts w:ascii="Times New Roman" w:hAnsi="Times New Roman" w:cs="Times New Roman"/>
          <w:sz w:val="28"/>
          <w:szCs w:val="28"/>
        </w:rPr>
        <w:t>20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год</w:t>
      </w:r>
      <w:r w:rsidR="00856566">
        <w:rPr>
          <w:rFonts w:ascii="Times New Roman" w:hAnsi="Times New Roman" w:cs="Times New Roman"/>
          <w:sz w:val="28"/>
          <w:szCs w:val="28"/>
        </w:rPr>
        <w:t>а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AF53DE" w:rsidRPr="00AF53DE">
        <w:rPr>
          <w:rFonts w:ascii="Times New Roman" w:hAnsi="Times New Roman" w:cs="Times New Roman"/>
          <w:sz w:val="28"/>
          <w:szCs w:val="28"/>
        </w:rPr>
        <w:t xml:space="preserve"> </w:t>
      </w:r>
      <w:r w:rsidR="000820CF">
        <w:rPr>
          <w:rFonts w:ascii="Times New Roman" w:hAnsi="Times New Roman" w:cs="Times New Roman"/>
          <w:sz w:val="28"/>
          <w:szCs w:val="28"/>
        </w:rPr>
        <w:t>11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заседаний постоянных депутатских комиссий, из них:</w:t>
      </w:r>
    </w:p>
    <w:p w14:paraId="54467AF0" w14:textId="0A4A7C68" w:rsidR="00D01CA6" w:rsidRPr="00826801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>-</w:t>
      </w:r>
      <w:r w:rsidR="000820CF">
        <w:rPr>
          <w:rFonts w:ascii="Times New Roman" w:hAnsi="Times New Roman" w:cs="Times New Roman"/>
          <w:sz w:val="28"/>
          <w:szCs w:val="28"/>
        </w:rPr>
        <w:t xml:space="preserve">  </w:t>
      </w:r>
      <w:r w:rsidRPr="00826801">
        <w:rPr>
          <w:rFonts w:ascii="Times New Roman" w:hAnsi="Times New Roman" w:cs="Times New Roman"/>
          <w:sz w:val="28"/>
          <w:szCs w:val="28"/>
        </w:rPr>
        <w:t xml:space="preserve">комиссия по местному самоуправлению, законодательству, регламенту, социальным вопросам и связям с общественностью </w:t>
      </w:r>
      <w:r w:rsidR="005679E8">
        <w:rPr>
          <w:rFonts w:ascii="Times New Roman" w:hAnsi="Times New Roman" w:cs="Times New Roman"/>
          <w:sz w:val="28"/>
          <w:szCs w:val="28"/>
        </w:rPr>
        <w:t>-</w:t>
      </w:r>
      <w:r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0820CF">
        <w:rPr>
          <w:rFonts w:ascii="Times New Roman" w:hAnsi="Times New Roman" w:cs="Times New Roman"/>
          <w:sz w:val="28"/>
          <w:szCs w:val="28"/>
        </w:rPr>
        <w:t>4</w:t>
      </w:r>
      <w:r w:rsidRPr="0082680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820CF">
        <w:rPr>
          <w:rFonts w:ascii="Times New Roman" w:hAnsi="Times New Roman" w:cs="Times New Roman"/>
          <w:sz w:val="28"/>
          <w:szCs w:val="28"/>
        </w:rPr>
        <w:t>я</w:t>
      </w:r>
      <w:r w:rsidRPr="00826801">
        <w:rPr>
          <w:rFonts w:ascii="Times New Roman" w:hAnsi="Times New Roman" w:cs="Times New Roman"/>
          <w:sz w:val="28"/>
          <w:szCs w:val="28"/>
        </w:rPr>
        <w:t>;</w:t>
      </w:r>
    </w:p>
    <w:p w14:paraId="2EE71E9B" w14:textId="447F87A6" w:rsidR="00D01CA6" w:rsidRPr="00826801" w:rsidRDefault="000820CF" w:rsidP="0008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01CA6" w:rsidRPr="00826801">
        <w:rPr>
          <w:rFonts w:ascii="Times New Roman" w:hAnsi="Times New Roman" w:cs="Times New Roman"/>
          <w:sz w:val="28"/>
          <w:szCs w:val="28"/>
        </w:rPr>
        <w:t>комиссия по финансам, бюджету, экономическому развитию и муниципальной собственности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05" w:rsidRPr="00826801">
        <w:rPr>
          <w:rFonts w:ascii="Times New Roman" w:hAnsi="Times New Roman" w:cs="Times New Roman"/>
          <w:sz w:val="28"/>
          <w:szCs w:val="28"/>
        </w:rPr>
        <w:t>4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1CA6" w:rsidRPr="00826801">
        <w:rPr>
          <w:rFonts w:ascii="Times New Roman" w:hAnsi="Times New Roman" w:cs="Times New Roman"/>
          <w:sz w:val="28"/>
          <w:szCs w:val="28"/>
        </w:rPr>
        <w:t>;</w:t>
      </w:r>
    </w:p>
    <w:p w14:paraId="738DFCD8" w14:textId="3C7FBF0E" w:rsidR="00D01CA6" w:rsidRPr="00826801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- </w:t>
      </w:r>
      <w:r w:rsidR="000820CF">
        <w:rPr>
          <w:rFonts w:ascii="Times New Roman" w:hAnsi="Times New Roman" w:cs="Times New Roman"/>
          <w:sz w:val="28"/>
          <w:szCs w:val="28"/>
        </w:rPr>
        <w:t xml:space="preserve">  </w:t>
      </w:r>
      <w:r w:rsidRPr="0082680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E874F0" w:rsidRPr="00826801">
        <w:rPr>
          <w:rFonts w:ascii="Times New Roman" w:hAnsi="Times New Roman" w:cs="Times New Roman"/>
          <w:sz w:val="28"/>
          <w:szCs w:val="28"/>
        </w:rPr>
        <w:t>ЖКХ, строительству</w:t>
      </w:r>
      <w:r w:rsidR="00E874F0">
        <w:rPr>
          <w:rFonts w:ascii="Times New Roman" w:hAnsi="Times New Roman" w:cs="Times New Roman"/>
          <w:sz w:val="28"/>
          <w:szCs w:val="28"/>
        </w:rPr>
        <w:t xml:space="preserve">, </w:t>
      </w:r>
      <w:r w:rsidR="00E874F0" w:rsidRPr="00826801">
        <w:rPr>
          <w:rFonts w:ascii="Times New Roman" w:hAnsi="Times New Roman" w:cs="Times New Roman"/>
          <w:sz w:val="28"/>
          <w:szCs w:val="28"/>
        </w:rPr>
        <w:t>благоустройству</w:t>
      </w:r>
      <w:r w:rsidR="000820CF">
        <w:rPr>
          <w:rFonts w:ascii="Times New Roman" w:hAnsi="Times New Roman" w:cs="Times New Roman"/>
          <w:sz w:val="28"/>
          <w:szCs w:val="28"/>
        </w:rPr>
        <w:t>,</w:t>
      </w:r>
      <w:r w:rsidR="00E874F0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Pr="00826801">
        <w:rPr>
          <w:rFonts w:ascii="Times New Roman" w:hAnsi="Times New Roman" w:cs="Times New Roman"/>
          <w:sz w:val="28"/>
          <w:szCs w:val="28"/>
        </w:rPr>
        <w:t xml:space="preserve">развитию курортной зоны, землепользованию и застройке </w:t>
      </w:r>
      <w:r w:rsidR="005679E8">
        <w:rPr>
          <w:rFonts w:ascii="Times New Roman" w:hAnsi="Times New Roman" w:cs="Times New Roman"/>
          <w:sz w:val="28"/>
          <w:szCs w:val="28"/>
        </w:rPr>
        <w:t>-</w:t>
      </w:r>
      <w:r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0820CF">
        <w:rPr>
          <w:rFonts w:ascii="Times New Roman" w:hAnsi="Times New Roman" w:cs="Times New Roman"/>
          <w:sz w:val="28"/>
          <w:szCs w:val="28"/>
        </w:rPr>
        <w:t>3</w:t>
      </w:r>
      <w:r w:rsidRPr="0082680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820CF">
        <w:rPr>
          <w:rFonts w:ascii="Times New Roman" w:hAnsi="Times New Roman" w:cs="Times New Roman"/>
          <w:sz w:val="28"/>
          <w:szCs w:val="28"/>
        </w:rPr>
        <w:t>я.</w:t>
      </w:r>
    </w:p>
    <w:p w14:paraId="3B2C77EB" w14:textId="77777777" w:rsidR="00E874F0" w:rsidRDefault="00D01CA6" w:rsidP="0033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CDEEC9" w14:textId="538BF5AE" w:rsidR="00D01CA6" w:rsidRDefault="00D01CA6" w:rsidP="0051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</w:t>
      </w:r>
      <w:r w:rsidR="00337583" w:rsidRPr="00337583">
        <w:rPr>
          <w:rFonts w:ascii="Times New Roman" w:hAnsi="Times New Roman" w:cs="Times New Roman"/>
          <w:sz w:val="28"/>
          <w:szCs w:val="28"/>
        </w:rPr>
        <w:t xml:space="preserve">  </w:t>
      </w:r>
      <w:r w:rsidRPr="00826801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037093" w:rsidRPr="00826801">
        <w:rPr>
          <w:rFonts w:ascii="Times New Roman" w:hAnsi="Times New Roman" w:cs="Times New Roman"/>
          <w:sz w:val="28"/>
          <w:szCs w:val="28"/>
        </w:rPr>
        <w:t>регулирования,</w:t>
      </w:r>
      <w:r w:rsidRPr="00826801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37093">
        <w:rPr>
          <w:rFonts w:ascii="Times New Roman" w:hAnsi="Times New Roman" w:cs="Times New Roman"/>
          <w:sz w:val="28"/>
          <w:szCs w:val="28"/>
        </w:rPr>
        <w:t xml:space="preserve">окружным Советом депутатов </w:t>
      </w:r>
      <w:r w:rsidR="00037093" w:rsidRPr="00826801">
        <w:rPr>
          <w:rFonts w:ascii="Times New Roman" w:hAnsi="Times New Roman" w:cs="Times New Roman"/>
          <w:sz w:val="28"/>
          <w:szCs w:val="28"/>
        </w:rPr>
        <w:t>решения,</w:t>
      </w:r>
      <w:r w:rsidRPr="00826801">
        <w:rPr>
          <w:rFonts w:ascii="Times New Roman" w:hAnsi="Times New Roman" w:cs="Times New Roman"/>
          <w:sz w:val="28"/>
          <w:szCs w:val="28"/>
        </w:rPr>
        <w:t xml:space="preserve"> можно разделить следующим образом: </w:t>
      </w:r>
    </w:p>
    <w:p w14:paraId="7C4E7B4B" w14:textId="3F6D7D92" w:rsidR="00D01CA6" w:rsidRPr="00826801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- по вопросам бюджета и управления муниципальной собственностью </w:t>
      </w:r>
      <w:r w:rsidR="00BC438E" w:rsidRPr="00826801">
        <w:rPr>
          <w:rFonts w:ascii="Times New Roman" w:hAnsi="Times New Roman" w:cs="Times New Roman"/>
          <w:sz w:val="28"/>
          <w:szCs w:val="28"/>
        </w:rPr>
        <w:t>-</w:t>
      </w:r>
      <w:r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E874F0">
        <w:rPr>
          <w:rFonts w:ascii="Times New Roman" w:hAnsi="Times New Roman" w:cs="Times New Roman"/>
          <w:sz w:val="28"/>
          <w:szCs w:val="28"/>
        </w:rPr>
        <w:t>16</w:t>
      </w:r>
      <w:r w:rsidRPr="008268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F4965">
        <w:rPr>
          <w:rFonts w:ascii="Times New Roman" w:hAnsi="Times New Roman" w:cs="Times New Roman"/>
          <w:sz w:val="28"/>
          <w:szCs w:val="28"/>
        </w:rPr>
        <w:t>й</w:t>
      </w:r>
      <w:r w:rsidRPr="008268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DCEA20" w14:textId="7C1726F6" w:rsidR="00D01CA6" w:rsidRPr="00826801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- по вопросам местного самоуправления </w:t>
      </w:r>
      <w:r w:rsidR="00E874F0">
        <w:rPr>
          <w:rFonts w:ascii="Times New Roman" w:hAnsi="Times New Roman" w:cs="Times New Roman"/>
          <w:sz w:val="28"/>
          <w:szCs w:val="28"/>
        </w:rPr>
        <w:t>-</w:t>
      </w:r>
      <w:r w:rsidR="008F7E68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E874F0">
        <w:rPr>
          <w:rFonts w:ascii="Times New Roman" w:hAnsi="Times New Roman" w:cs="Times New Roman"/>
          <w:sz w:val="28"/>
          <w:szCs w:val="28"/>
        </w:rPr>
        <w:t>29</w:t>
      </w:r>
      <w:r w:rsidR="00221F42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8F7E68" w:rsidRPr="00826801">
        <w:rPr>
          <w:rFonts w:ascii="Times New Roman" w:hAnsi="Times New Roman" w:cs="Times New Roman"/>
          <w:sz w:val="28"/>
          <w:szCs w:val="28"/>
        </w:rPr>
        <w:t>решений</w:t>
      </w:r>
      <w:r w:rsidRPr="008268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0EAD75" w14:textId="40E75001" w:rsidR="00D01CA6" w:rsidRPr="00826801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lastRenderedPageBreak/>
        <w:t xml:space="preserve">- по вопросам ЖКХ, строительства, благоустройства, землепользования и застройки </w:t>
      </w:r>
      <w:r w:rsidR="000820CF">
        <w:rPr>
          <w:rFonts w:ascii="Times New Roman" w:hAnsi="Times New Roman" w:cs="Times New Roman"/>
          <w:sz w:val="28"/>
          <w:szCs w:val="28"/>
        </w:rPr>
        <w:t>-</w:t>
      </w:r>
      <w:r w:rsidRPr="00826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62574"/>
      <w:r w:rsidR="00E874F0">
        <w:rPr>
          <w:rFonts w:ascii="Times New Roman" w:hAnsi="Times New Roman" w:cs="Times New Roman"/>
          <w:sz w:val="28"/>
          <w:szCs w:val="28"/>
        </w:rPr>
        <w:t>8 решений</w:t>
      </w:r>
      <w:r w:rsidRPr="00826801">
        <w:rPr>
          <w:rFonts w:ascii="Times New Roman" w:hAnsi="Times New Roman" w:cs="Times New Roman"/>
          <w:sz w:val="28"/>
          <w:szCs w:val="28"/>
        </w:rPr>
        <w:t xml:space="preserve">; </w:t>
      </w:r>
      <w:bookmarkEnd w:id="0"/>
    </w:p>
    <w:p w14:paraId="60C2FB8F" w14:textId="3D5D1768" w:rsidR="00D01CA6" w:rsidRPr="00826801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>- по иным вопросам</w:t>
      </w:r>
      <w:r w:rsidR="00221F42" w:rsidRPr="00826801">
        <w:rPr>
          <w:rFonts w:ascii="Times New Roman" w:hAnsi="Times New Roman" w:cs="Times New Roman"/>
          <w:sz w:val="28"/>
          <w:szCs w:val="28"/>
        </w:rPr>
        <w:t xml:space="preserve"> -</w:t>
      </w:r>
      <w:r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="00E874F0">
        <w:rPr>
          <w:rFonts w:ascii="Times New Roman" w:hAnsi="Times New Roman" w:cs="Times New Roman"/>
          <w:sz w:val="28"/>
          <w:szCs w:val="28"/>
        </w:rPr>
        <w:t>1</w:t>
      </w:r>
      <w:r w:rsidR="00221F42" w:rsidRPr="00826801">
        <w:rPr>
          <w:rFonts w:ascii="Times New Roman" w:hAnsi="Times New Roman" w:cs="Times New Roman"/>
          <w:sz w:val="28"/>
          <w:szCs w:val="28"/>
        </w:rPr>
        <w:t xml:space="preserve"> </w:t>
      </w:r>
      <w:r w:rsidRPr="00826801">
        <w:rPr>
          <w:rFonts w:ascii="Times New Roman" w:hAnsi="Times New Roman" w:cs="Times New Roman"/>
          <w:sz w:val="28"/>
          <w:szCs w:val="28"/>
        </w:rPr>
        <w:t>решени</w:t>
      </w:r>
      <w:r w:rsidR="00E874F0">
        <w:rPr>
          <w:rFonts w:ascii="Times New Roman" w:hAnsi="Times New Roman" w:cs="Times New Roman"/>
          <w:sz w:val="28"/>
          <w:szCs w:val="28"/>
        </w:rPr>
        <w:t>е</w:t>
      </w:r>
      <w:r w:rsidRPr="008268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0BA5C" w14:textId="77777777" w:rsidR="00EF6A3F" w:rsidRPr="00826801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98926" w14:textId="2D409AA5" w:rsidR="00D01CA6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Как видно из приведенных данных, большая часть решений принималась в рамках реализации полномочий по вопросам местного самоуправления и бюджетных полномочий.</w:t>
      </w:r>
    </w:p>
    <w:p w14:paraId="45D4D69D" w14:textId="77777777" w:rsidR="00AD7BFD" w:rsidRPr="00AD7BFD" w:rsidRDefault="00AD7BFD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37EF50F" w14:textId="45C2CC0A" w:rsidR="00AD7BFD" w:rsidRDefault="00AD7BFD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2">
        <w:rPr>
          <w:rFonts w:ascii="Times New Roman" w:hAnsi="Times New Roman" w:cs="Times New Roman"/>
          <w:sz w:val="28"/>
          <w:szCs w:val="28"/>
        </w:rPr>
        <w:t>В отчетном периоде достаточно внимания уделялось приведению нормативных правовых актов в соответствии с действующим законодательством. П</w:t>
      </w:r>
      <w:r w:rsidR="004037DA">
        <w:rPr>
          <w:rFonts w:ascii="Times New Roman" w:hAnsi="Times New Roman" w:cs="Times New Roman"/>
          <w:sz w:val="28"/>
          <w:szCs w:val="28"/>
        </w:rPr>
        <w:t>ринято 14 решений о внесении изменений в муниципальные акты окружного Совета депутатов</w:t>
      </w:r>
      <w:r w:rsidR="004D4A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737FFA" w14:textId="77777777" w:rsidR="00755499" w:rsidRPr="00755499" w:rsidRDefault="00AD7BFD" w:rsidP="0075549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D6BA8A" w14:textId="6EABEB6C" w:rsidR="00755499" w:rsidRPr="00826801" w:rsidRDefault="00755499" w:rsidP="007554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Наиболее важными для городского округа являются принятые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6801">
        <w:rPr>
          <w:rFonts w:ascii="Times New Roman" w:hAnsi="Times New Roman" w:cs="Times New Roman"/>
          <w:sz w:val="28"/>
          <w:szCs w:val="28"/>
        </w:rPr>
        <w:t xml:space="preserve"> году следующие решения:</w:t>
      </w:r>
    </w:p>
    <w:p w14:paraId="01BEFE8D" w14:textId="69975DCD" w:rsidR="00755499" w:rsidRDefault="00755499" w:rsidP="00755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801">
        <w:rPr>
          <w:rFonts w:ascii="Times New Roman" w:hAnsi="Times New Roman" w:cs="Times New Roman"/>
          <w:b/>
          <w:sz w:val="28"/>
          <w:szCs w:val="28"/>
        </w:rPr>
        <w:t xml:space="preserve">      В сфере местного самоуправления:</w:t>
      </w:r>
    </w:p>
    <w:p w14:paraId="6EF67396" w14:textId="04C9D29A" w:rsidR="005679E8" w:rsidRPr="005679E8" w:rsidRDefault="005679E8" w:rsidP="005679E8">
      <w:pPr>
        <w:spacing w:after="0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679E8">
        <w:rPr>
          <w:rFonts w:ascii="Times New Roman" w:eastAsia="Batang" w:hAnsi="Times New Roman" w:cs="Times New Roman"/>
          <w:sz w:val="28"/>
          <w:szCs w:val="28"/>
        </w:rPr>
        <w:t>- решение об избрании главы Зеленоградского городского округа;</w:t>
      </w:r>
    </w:p>
    <w:p w14:paraId="4DA122F4" w14:textId="60E5268D" w:rsidR="005679E8" w:rsidRPr="005679E8" w:rsidRDefault="005679E8" w:rsidP="005679E8">
      <w:pPr>
        <w:spacing w:after="0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679E8">
        <w:rPr>
          <w:rFonts w:ascii="Times New Roman" w:eastAsia="Batang" w:hAnsi="Times New Roman" w:cs="Times New Roman"/>
          <w:sz w:val="28"/>
          <w:szCs w:val="28"/>
        </w:rPr>
        <w:t>-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5679E8">
        <w:rPr>
          <w:rFonts w:ascii="Times New Roman" w:eastAsia="Batang" w:hAnsi="Times New Roman" w:cs="Times New Roman"/>
          <w:sz w:val="28"/>
          <w:szCs w:val="28"/>
        </w:rPr>
        <w:t>решение об избрании главы администрации Зеленоградского городского округа;</w:t>
      </w:r>
    </w:p>
    <w:p w14:paraId="60286265" w14:textId="325ACFDD" w:rsidR="00755499" w:rsidRPr="00675D5D" w:rsidRDefault="005679E8" w:rsidP="005679E8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75549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55499" w:rsidRPr="00675D5D">
        <w:rPr>
          <w:rFonts w:ascii="Times New Roman" w:eastAsia="Batang" w:hAnsi="Times New Roman" w:cs="Times New Roman"/>
          <w:sz w:val="28"/>
          <w:szCs w:val="28"/>
        </w:rPr>
        <w:t>- решение «Об утверждении структура администрации Зеленоградского городского округа».</w:t>
      </w:r>
    </w:p>
    <w:p w14:paraId="0853B242" w14:textId="771F5043" w:rsidR="00755499" w:rsidRDefault="005679E8" w:rsidP="005679E8">
      <w:pPr>
        <w:spacing w:after="0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об определении на территории Зеленоградского городского округа мест, в которых нахождение детей не допускается.</w:t>
      </w:r>
    </w:p>
    <w:p w14:paraId="07570378" w14:textId="77777777" w:rsidR="005679E8" w:rsidRPr="00675D5D" w:rsidRDefault="005679E8" w:rsidP="005679E8">
      <w:pPr>
        <w:spacing w:after="0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0DEA413B" w14:textId="2D6133A4" w:rsidR="00755499" w:rsidRDefault="00755499" w:rsidP="0075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801">
        <w:rPr>
          <w:rFonts w:ascii="Times New Roman" w:hAnsi="Times New Roman" w:cs="Times New Roman"/>
          <w:b/>
          <w:sz w:val="28"/>
          <w:szCs w:val="28"/>
        </w:rPr>
        <w:t xml:space="preserve">      В сфере благоустройства, землепользования и застройки:</w:t>
      </w:r>
    </w:p>
    <w:p w14:paraId="0506EC41" w14:textId="77777777" w:rsidR="005679E8" w:rsidRDefault="005679E8" w:rsidP="0075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F18B5" w14:textId="75A22CA3" w:rsidR="005679E8" w:rsidRPr="005679E8" w:rsidRDefault="005679E8" w:rsidP="00755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E8">
        <w:rPr>
          <w:rFonts w:ascii="Times New Roman" w:hAnsi="Times New Roman" w:cs="Times New Roman"/>
          <w:bCs/>
          <w:sz w:val="28"/>
          <w:szCs w:val="28"/>
        </w:rPr>
        <w:t>- решение «Об утверждении Правил благоустройства Зеленоградского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ED53133" w14:textId="77777777" w:rsidR="00755499" w:rsidRPr="00826801" w:rsidRDefault="00755499" w:rsidP="0075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A3267" w14:textId="77777777" w:rsidR="00755499" w:rsidRDefault="00755499" w:rsidP="0075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801">
        <w:rPr>
          <w:rFonts w:ascii="Times New Roman" w:hAnsi="Times New Roman" w:cs="Times New Roman"/>
          <w:b/>
          <w:sz w:val="28"/>
          <w:szCs w:val="28"/>
        </w:rPr>
        <w:t xml:space="preserve">      В сфере бюджетных и имущественных отношений:</w:t>
      </w:r>
    </w:p>
    <w:p w14:paraId="718CA408" w14:textId="77777777" w:rsidR="00755499" w:rsidRPr="00826801" w:rsidRDefault="00755499" w:rsidP="0075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9C6E8" w14:textId="294776BA" w:rsidR="00AD7BFD" w:rsidRDefault="005679E8" w:rsidP="00A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«О бюджете муниципального образования «Зеленоградский городской округ» Калининградской области на 2021 год и на плановый период 2022 и 2023 годов».</w:t>
      </w:r>
    </w:p>
    <w:p w14:paraId="01AE2518" w14:textId="2E9F999D" w:rsidR="004F5012" w:rsidRDefault="004F5012" w:rsidP="00A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осуществления контроля за исполнением органами и должностными лицами местного самоуправления полномочий по решению</w:t>
      </w:r>
      <w:r w:rsidR="001B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1B18E9">
        <w:rPr>
          <w:rFonts w:ascii="Times New Roman" w:hAnsi="Times New Roman" w:cs="Times New Roman"/>
          <w:sz w:val="28"/>
          <w:szCs w:val="28"/>
        </w:rPr>
        <w:t xml:space="preserve"> окружным Советом депутатов первого созыва был заслушан отчет главы администрации Зеленоградского городского округа Кошевого С.А. за 2019 год. </w:t>
      </w:r>
    </w:p>
    <w:p w14:paraId="5BD9E2DD" w14:textId="690C5BAF" w:rsidR="00AD7BFD" w:rsidRPr="00826801" w:rsidRDefault="001B18E9" w:rsidP="00A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0B">
        <w:rPr>
          <w:rFonts w:ascii="Times New Roman" w:hAnsi="Times New Roman" w:cs="Times New Roman"/>
          <w:sz w:val="28"/>
          <w:szCs w:val="28"/>
        </w:rPr>
        <w:t>В 2020 году в</w:t>
      </w:r>
      <w:r w:rsidR="00AD7BFD">
        <w:rPr>
          <w:rFonts w:ascii="Times New Roman" w:hAnsi="Times New Roman" w:cs="Times New Roman"/>
          <w:sz w:val="28"/>
          <w:szCs w:val="28"/>
        </w:rPr>
        <w:t>се п</w:t>
      </w:r>
      <w:r w:rsidR="00AD7BFD" w:rsidRPr="00826801">
        <w:rPr>
          <w:rFonts w:ascii="Times New Roman" w:hAnsi="Times New Roman" w:cs="Times New Roman"/>
          <w:sz w:val="28"/>
          <w:szCs w:val="28"/>
        </w:rPr>
        <w:t>роекты нормативн</w:t>
      </w:r>
      <w:r w:rsidR="004F5012">
        <w:rPr>
          <w:rFonts w:ascii="Times New Roman" w:hAnsi="Times New Roman" w:cs="Times New Roman"/>
          <w:sz w:val="28"/>
          <w:szCs w:val="28"/>
        </w:rPr>
        <w:t xml:space="preserve">ых </w:t>
      </w:r>
      <w:r w:rsidR="00AD7BFD" w:rsidRPr="00826801">
        <w:rPr>
          <w:rFonts w:ascii="Times New Roman" w:hAnsi="Times New Roman" w:cs="Times New Roman"/>
          <w:sz w:val="28"/>
          <w:szCs w:val="28"/>
        </w:rPr>
        <w:t xml:space="preserve">правовых актов, вносимых в окружной Совет депутатов, </w:t>
      </w:r>
      <w:r w:rsidR="00AD7BFD">
        <w:rPr>
          <w:rFonts w:ascii="Times New Roman" w:hAnsi="Times New Roman" w:cs="Times New Roman"/>
          <w:sz w:val="28"/>
          <w:szCs w:val="28"/>
        </w:rPr>
        <w:t>проход</w:t>
      </w:r>
      <w:r w:rsidR="0086700B">
        <w:rPr>
          <w:rFonts w:ascii="Times New Roman" w:hAnsi="Times New Roman" w:cs="Times New Roman"/>
          <w:sz w:val="28"/>
          <w:szCs w:val="28"/>
        </w:rPr>
        <w:t>или</w:t>
      </w:r>
      <w:r w:rsidR="00AD7BF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и направля</w:t>
      </w:r>
      <w:r w:rsidR="0086700B">
        <w:rPr>
          <w:rFonts w:ascii="Times New Roman" w:hAnsi="Times New Roman" w:cs="Times New Roman"/>
          <w:sz w:val="28"/>
          <w:szCs w:val="28"/>
        </w:rPr>
        <w:t>лись</w:t>
      </w:r>
      <w:r w:rsidR="00AD7BFD" w:rsidRPr="00826801">
        <w:rPr>
          <w:rFonts w:ascii="Times New Roman" w:hAnsi="Times New Roman" w:cs="Times New Roman"/>
          <w:sz w:val="28"/>
          <w:szCs w:val="28"/>
        </w:rPr>
        <w:t xml:space="preserve"> в прокуратуру Зеленоградского района в рамках заключенного </w:t>
      </w:r>
      <w:r w:rsidR="00AD7BFD" w:rsidRPr="00826801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 взаимодействии в правотворческой сфере. </w:t>
      </w:r>
      <w:r w:rsidR="00755499">
        <w:rPr>
          <w:rFonts w:ascii="Times New Roman" w:hAnsi="Times New Roman" w:cs="Times New Roman"/>
          <w:sz w:val="28"/>
          <w:szCs w:val="28"/>
        </w:rPr>
        <w:t xml:space="preserve">Представители прокуратуры </w:t>
      </w:r>
      <w:r w:rsidR="0086700B">
        <w:rPr>
          <w:rFonts w:ascii="Times New Roman" w:hAnsi="Times New Roman" w:cs="Times New Roman"/>
          <w:sz w:val="28"/>
          <w:szCs w:val="28"/>
        </w:rPr>
        <w:t>присутствовали</w:t>
      </w:r>
      <w:r w:rsidR="00755499">
        <w:rPr>
          <w:rFonts w:ascii="Times New Roman" w:hAnsi="Times New Roman" w:cs="Times New Roman"/>
          <w:sz w:val="28"/>
          <w:szCs w:val="28"/>
        </w:rPr>
        <w:t xml:space="preserve"> на все</w:t>
      </w:r>
      <w:r w:rsidR="0086700B">
        <w:rPr>
          <w:rFonts w:ascii="Times New Roman" w:hAnsi="Times New Roman" w:cs="Times New Roman"/>
          <w:sz w:val="28"/>
          <w:szCs w:val="28"/>
        </w:rPr>
        <w:t>х</w:t>
      </w:r>
      <w:r w:rsidR="007554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6700B">
        <w:rPr>
          <w:rFonts w:ascii="Times New Roman" w:hAnsi="Times New Roman" w:cs="Times New Roman"/>
          <w:sz w:val="28"/>
          <w:szCs w:val="28"/>
        </w:rPr>
        <w:t>ях</w:t>
      </w:r>
      <w:r w:rsidR="00755499">
        <w:rPr>
          <w:rFonts w:ascii="Times New Roman" w:hAnsi="Times New Roman" w:cs="Times New Roman"/>
          <w:sz w:val="28"/>
          <w:szCs w:val="28"/>
        </w:rPr>
        <w:t xml:space="preserve"> окружного Совета депутатов.</w:t>
      </w:r>
    </w:p>
    <w:p w14:paraId="60D244C2" w14:textId="54F94B1F" w:rsidR="00755499" w:rsidRDefault="0086700B" w:rsidP="000370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6801">
        <w:rPr>
          <w:rFonts w:ascii="Times New Roman" w:hAnsi="Times New Roman" w:cs="Times New Roman"/>
          <w:sz w:val="28"/>
          <w:szCs w:val="28"/>
        </w:rPr>
        <w:t>ля включения в региональный регистр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AD7BFD" w:rsidRPr="00826801">
        <w:rPr>
          <w:rFonts w:ascii="Times New Roman" w:hAnsi="Times New Roman" w:cs="Times New Roman"/>
          <w:sz w:val="28"/>
          <w:szCs w:val="28"/>
        </w:rPr>
        <w:t>ормативн</w:t>
      </w:r>
      <w:r w:rsidR="004F5012">
        <w:rPr>
          <w:rFonts w:ascii="Times New Roman" w:hAnsi="Times New Roman" w:cs="Times New Roman"/>
          <w:sz w:val="28"/>
          <w:szCs w:val="28"/>
        </w:rPr>
        <w:t xml:space="preserve">ые </w:t>
      </w:r>
      <w:r w:rsidR="00AD7BFD" w:rsidRPr="00826801">
        <w:rPr>
          <w:rFonts w:ascii="Times New Roman" w:hAnsi="Times New Roman" w:cs="Times New Roman"/>
          <w:sz w:val="28"/>
          <w:szCs w:val="28"/>
        </w:rPr>
        <w:t xml:space="preserve">правовые акты, принятые окружным Советом, направлялись в Правовое управление Правительства Калининградской области. </w:t>
      </w:r>
      <w:r w:rsidR="00755499" w:rsidRPr="00826801">
        <w:rPr>
          <w:rFonts w:ascii="Times New Roman" w:hAnsi="Times New Roman" w:cs="Times New Roman"/>
          <w:sz w:val="28"/>
          <w:szCs w:val="28"/>
        </w:rPr>
        <w:t>Данная работа проводится 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  <w:r w:rsidR="00755499">
        <w:rPr>
          <w:rFonts w:ascii="Times New Roman" w:hAnsi="Times New Roman" w:cs="Times New Roman"/>
          <w:sz w:val="28"/>
          <w:szCs w:val="28"/>
        </w:rPr>
        <w:t xml:space="preserve"> Замечаний со стороны Правового управления по данному направлению работы</w:t>
      </w: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755499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14:paraId="765D4EDB" w14:textId="287E9E69" w:rsidR="00755499" w:rsidRPr="00826801" w:rsidRDefault="00755499" w:rsidP="00755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5499">
        <w:rPr>
          <w:rFonts w:ascii="Times New Roman" w:hAnsi="Times New Roman" w:cs="Times New Roman"/>
          <w:sz w:val="28"/>
          <w:szCs w:val="28"/>
        </w:rPr>
        <w:t xml:space="preserve"> </w:t>
      </w:r>
      <w:r w:rsidRPr="00826801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деятельности органов местного самоуправления все принятые решения окружного Совета депутатов размещались на официальном сайте органов местного самоуправления муниципального образования Зеленоградск</w:t>
      </w:r>
      <w:r w:rsidR="00CB4F44">
        <w:rPr>
          <w:rFonts w:ascii="Times New Roman" w:hAnsi="Times New Roman" w:cs="Times New Roman"/>
          <w:sz w:val="28"/>
          <w:szCs w:val="28"/>
        </w:rPr>
        <w:t>ого</w:t>
      </w:r>
      <w:r w:rsidRPr="0082680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B4F44">
        <w:rPr>
          <w:rFonts w:ascii="Times New Roman" w:hAnsi="Times New Roman" w:cs="Times New Roman"/>
          <w:sz w:val="28"/>
          <w:szCs w:val="28"/>
        </w:rPr>
        <w:t>го</w:t>
      </w:r>
      <w:r w:rsidRPr="0082680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4F44">
        <w:rPr>
          <w:rFonts w:ascii="Times New Roman" w:hAnsi="Times New Roman" w:cs="Times New Roman"/>
          <w:sz w:val="28"/>
          <w:szCs w:val="28"/>
        </w:rPr>
        <w:t>а</w:t>
      </w:r>
      <w:r w:rsidRPr="00826801">
        <w:rPr>
          <w:rFonts w:ascii="Times New Roman" w:hAnsi="Times New Roman" w:cs="Times New Roman"/>
          <w:sz w:val="28"/>
          <w:szCs w:val="28"/>
        </w:rPr>
        <w:t>, все нормативные</w:t>
      </w:r>
      <w:r w:rsidR="001B18E9">
        <w:rPr>
          <w:rFonts w:ascii="Times New Roman" w:hAnsi="Times New Roman" w:cs="Times New Roman"/>
          <w:sz w:val="28"/>
          <w:szCs w:val="28"/>
        </w:rPr>
        <w:t xml:space="preserve"> правовые </w:t>
      </w:r>
      <w:r w:rsidRPr="00826801">
        <w:rPr>
          <w:rFonts w:ascii="Times New Roman" w:hAnsi="Times New Roman" w:cs="Times New Roman"/>
          <w:sz w:val="28"/>
          <w:szCs w:val="28"/>
        </w:rPr>
        <w:t>акты были опубликованы в газете «Волна».</w:t>
      </w:r>
    </w:p>
    <w:p w14:paraId="67CD6523" w14:textId="77777777" w:rsidR="00755499" w:rsidRDefault="00755499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Устав Зеленоградского городского округа</w:t>
      </w:r>
    </w:p>
    <w:p w14:paraId="4DADF05E" w14:textId="77777777" w:rsidR="00755499" w:rsidRPr="0029474E" w:rsidRDefault="00755499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75E9C5" w14:textId="774453F7" w:rsidR="00755499" w:rsidRDefault="00755499" w:rsidP="0075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нормативным актом муниципального образования является Устав. Принятие Устава и внесение в него изменений находится в исключительной компетенции представительного органа. </w:t>
      </w:r>
    </w:p>
    <w:p w14:paraId="24EB1B45" w14:textId="10212BE0" w:rsidR="00755499" w:rsidRDefault="00755499" w:rsidP="0075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Устава Зеленоградского городского округа</w:t>
      </w:r>
      <w:r w:rsidR="0098073C">
        <w:rPr>
          <w:rFonts w:ascii="Times New Roman" w:hAnsi="Times New Roman" w:cs="Times New Roman"/>
          <w:sz w:val="28"/>
          <w:szCs w:val="28"/>
        </w:rPr>
        <w:t xml:space="preserve"> (далее-Устав)</w:t>
      </w:r>
      <w:r>
        <w:rPr>
          <w:rFonts w:ascii="Times New Roman" w:hAnsi="Times New Roman" w:cs="Times New Roman"/>
          <w:sz w:val="28"/>
          <w:szCs w:val="28"/>
        </w:rPr>
        <w:t xml:space="preserve"> и приведения его в соответствие с федеральным и областным законодательством в 2020 году окружным Советом депутатов дважды вносились изменения в действующую редакцию Устава. При этом</w:t>
      </w:r>
      <w:r w:rsidRPr="006C5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7A20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0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0A3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A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20A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0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A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окружным Советом депутатов один раз назначались и проводились публичные слушания по проекту решения о</w:t>
      </w:r>
      <w:r w:rsidRPr="00D520E8">
        <w:rPr>
          <w:rFonts w:ascii="Times New Roman" w:hAnsi="Times New Roman" w:cs="Times New Roman"/>
          <w:sz w:val="28"/>
          <w:szCs w:val="28"/>
        </w:rPr>
        <w:t xml:space="preserve"> внесении изменений в Устав.</w:t>
      </w:r>
    </w:p>
    <w:p w14:paraId="6A81E6BA" w14:textId="77777777" w:rsidR="00755499" w:rsidRPr="00FE608C" w:rsidRDefault="00755499" w:rsidP="00755499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608C">
        <w:rPr>
          <w:rFonts w:ascii="Times New Roman" w:eastAsia="Calibri" w:hAnsi="Times New Roman" w:cs="Times New Roman"/>
          <w:sz w:val="28"/>
          <w:szCs w:val="28"/>
        </w:rPr>
        <w:t>В ходе проведения публичных слушаний предложения</w:t>
      </w:r>
      <w:r>
        <w:rPr>
          <w:rFonts w:ascii="Times New Roman" w:eastAsia="Calibri" w:hAnsi="Times New Roman" w:cs="Times New Roman"/>
          <w:sz w:val="28"/>
          <w:szCs w:val="28"/>
        </w:rPr>
        <w:t>, замечания</w:t>
      </w:r>
      <w:r w:rsidRPr="00FE608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E608C">
        <w:rPr>
          <w:rFonts w:ascii="Times New Roman" w:eastAsia="Calibri" w:hAnsi="Times New Roman" w:cs="Times New Roman"/>
          <w:color w:val="000000"/>
          <w:sz w:val="28"/>
          <w:szCs w:val="28"/>
        </w:rPr>
        <w:t>граждан, представителей организаций,</w:t>
      </w:r>
      <w:r w:rsidRPr="00FE608C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общественных объединений и структурных подразделений политических партий, зарегистрированных и действующих на территории  Калининградской области, органов местного самоуправления, выборных и иных должностных лиц органов местного самоуправления Зеленоградского городского округа </w:t>
      </w:r>
      <w:r w:rsidRPr="00FE608C">
        <w:rPr>
          <w:rFonts w:ascii="Times New Roman" w:eastAsia="Calibri" w:hAnsi="Times New Roman" w:cs="Times New Roman"/>
          <w:sz w:val="28"/>
          <w:szCs w:val="28"/>
        </w:rPr>
        <w:t xml:space="preserve">не поступили. </w:t>
      </w:r>
    </w:p>
    <w:p w14:paraId="147D6469" w14:textId="19844E84" w:rsidR="00755499" w:rsidRDefault="0098073C" w:rsidP="0075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Изменения</w:t>
      </w:r>
      <w:r w:rsidR="00755499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в Устав были приняты в установленном порядке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, </w:t>
      </w:r>
      <w:r w:rsidR="00755499">
        <w:rPr>
          <w:rFonts w:ascii="Times New Roman" w:eastAsia="Calibri" w:hAnsi="Times New Roman" w:cs="Times New Roman"/>
          <w:bCs/>
          <w:noProof/>
          <w:sz w:val="28"/>
          <w:szCs w:val="28"/>
        </w:rPr>
        <w:t>прошли государственную регистрацию в Управлении Министерства юстиции Российской Федерации по Калининградской области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и вступили в законную силу.</w:t>
      </w:r>
    </w:p>
    <w:p w14:paraId="043911A1" w14:textId="3952A6E8" w:rsidR="00037093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63256504"/>
    </w:p>
    <w:p w14:paraId="3DBEECDF" w14:textId="1C66102D" w:rsidR="00F142EE" w:rsidRPr="00826801" w:rsidRDefault="00F142EE" w:rsidP="000370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 Зеленоградского городского округа</w:t>
      </w:r>
    </w:p>
    <w:p w14:paraId="59EFF71E" w14:textId="65E8323B" w:rsidR="00F142EE" w:rsidRPr="00826801" w:rsidRDefault="00F142EE" w:rsidP="008F7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8202F49" w14:textId="77777777" w:rsidR="00837276" w:rsidRPr="00837276" w:rsidRDefault="00D01CA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</w:t>
      </w:r>
      <w:r w:rsidR="00837276"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важнейших нормативных правовых актов, принимаемым окружным Советом депутатов является бюджет Зеленоградского городского округа на текущий год и плановый период. </w:t>
      </w:r>
    </w:p>
    <w:p w14:paraId="4BF1D44A" w14:textId="77777777" w:rsidR="001B18E9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отчетном году окружной Совет депутатов рассмотрел и утвердил отчет об исполнении бюджета за 2019 год, осуществлял контроль в ходе рассмотрения отдельных вопросов исполнения бюджета на своих заседаниях.</w:t>
      </w:r>
      <w:r w:rsidR="001B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5C2F410" w14:textId="490124E9" w:rsidR="00837276" w:rsidRPr="00837276" w:rsidRDefault="001B18E9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Зеленоградского городского округа была проведена внешняя проверка годового отчёта, по результатам которой было подготовлено заключение в соответствии с требованиями Бюджетного кодекса РФ.</w:t>
      </w:r>
    </w:p>
    <w:p w14:paraId="1319DCE9" w14:textId="77777777" w:rsidR="00837276" w:rsidRPr="00837276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Первоначально бюджет Зеленоградского городского округа на 2020 год был утвержден по доходам в сумме 1 млрд. 140, 6 млн. рублей, по расходам – 1 млрд. 174,2 млн. рублей, с дефицитом 33, 6 млн. рублей. </w:t>
      </w:r>
    </w:p>
    <w:p w14:paraId="623C9AFA" w14:textId="77777777" w:rsidR="00837276" w:rsidRPr="00837276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течение финансового года плановые показатели доходов скорректированы в сторону увеличения на +212,4 млн. рублей и составили 1 млрд. 353 млн. рублей,</w:t>
      </w:r>
      <w:r w:rsidRPr="008372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позволило увеличить расходы бюджета, на +333,7 млн. рублей, которые составили 1 млрд. 507,9 млн. рублей.</w:t>
      </w:r>
    </w:p>
    <w:p w14:paraId="4A125BD6" w14:textId="77777777" w:rsidR="00837276" w:rsidRPr="00837276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Зеленоградского городского округа по доходам в 2020 год сложился из:</w:t>
      </w:r>
    </w:p>
    <w:p w14:paraId="3D59F39D" w14:textId="77777777" w:rsidR="00837276" w:rsidRPr="00837276" w:rsidRDefault="00837276" w:rsidP="008372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7276">
        <w:rPr>
          <w:rFonts w:ascii="Times New Roman" w:hAnsi="Times New Roman"/>
          <w:color w:val="000000"/>
          <w:sz w:val="28"/>
          <w:szCs w:val="28"/>
        </w:rPr>
        <w:t xml:space="preserve">- налоговых доходов, поступивших в сумме 416,6 млн. </w:t>
      </w:r>
      <w:r w:rsidRPr="00837276">
        <w:rPr>
          <w:rFonts w:ascii="Times New Roman" w:hAnsi="Times New Roman"/>
          <w:sz w:val="28"/>
          <w:szCs w:val="28"/>
          <w:lang w:eastAsia="ru-RU"/>
        </w:rPr>
        <w:t>рублей</w:t>
      </w:r>
      <w:r w:rsidRPr="00837276">
        <w:rPr>
          <w:rFonts w:ascii="Times New Roman" w:hAnsi="Times New Roman"/>
          <w:color w:val="000000"/>
          <w:sz w:val="28"/>
          <w:szCs w:val="28"/>
        </w:rPr>
        <w:t>, их удельный вес в структуре доходов бюджета составил 31%;</w:t>
      </w:r>
    </w:p>
    <w:p w14:paraId="3EE3A3D4" w14:textId="77777777" w:rsidR="00837276" w:rsidRPr="00837276" w:rsidRDefault="00837276" w:rsidP="00837276">
      <w:pPr>
        <w:tabs>
          <w:tab w:val="left" w:pos="1418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7276">
        <w:rPr>
          <w:rFonts w:ascii="Times New Roman" w:hAnsi="Times New Roman"/>
          <w:color w:val="000000"/>
          <w:sz w:val="28"/>
          <w:szCs w:val="28"/>
        </w:rPr>
        <w:t xml:space="preserve">- неналоговых доходов в сумме 249,8 млн. </w:t>
      </w:r>
      <w:r w:rsidRPr="00837276">
        <w:rPr>
          <w:rFonts w:ascii="Times New Roman" w:hAnsi="Times New Roman"/>
          <w:sz w:val="28"/>
          <w:szCs w:val="28"/>
          <w:lang w:eastAsia="ru-RU"/>
        </w:rPr>
        <w:t>рублей,</w:t>
      </w:r>
      <w:r w:rsidRPr="00837276">
        <w:rPr>
          <w:rFonts w:ascii="Times New Roman" w:hAnsi="Times New Roman"/>
          <w:color w:val="000000"/>
          <w:sz w:val="28"/>
          <w:szCs w:val="28"/>
        </w:rPr>
        <w:t xml:space="preserve"> занимающих в структуре бюджета 18%;</w:t>
      </w:r>
    </w:p>
    <w:p w14:paraId="3E10D508" w14:textId="77777777" w:rsidR="00837276" w:rsidRPr="00837276" w:rsidRDefault="00837276" w:rsidP="00837276">
      <w:pPr>
        <w:tabs>
          <w:tab w:val="left" w:pos="1418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7276">
        <w:rPr>
          <w:rFonts w:ascii="Times New Roman" w:hAnsi="Times New Roman"/>
          <w:color w:val="000000"/>
          <w:sz w:val="28"/>
          <w:szCs w:val="28"/>
        </w:rPr>
        <w:t xml:space="preserve">- безвозмездных поступлений в сумме 686,6 млн. </w:t>
      </w:r>
      <w:r w:rsidRPr="00837276">
        <w:rPr>
          <w:rFonts w:ascii="Times New Roman" w:hAnsi="Times New Roman"/>
          <w:sz w:val="28"/>
          <w:szCs w:val="28"/>
          <w:lang w:eastAsia="ru-RU"/>
        </w:rPr>
        <w:t>рублей</w:t>
      </w:r>
      <w:r w:rsidRPr="00837276">
        <w:rPr>
          <w:rFonts w:ascii="Times New Roman" w:hAnsi="Times New Roman"/>
          <w:color w:val="000000"/>
          <w:sz w:val="28"/>
          <w:szCs w:val="28"/>
        </w:rPr>
        <w:t>, удельный вес в структуре доходов бюджета составил 51%.</w:t>
      </w:r>
    </w:p>
    <w:p w14:paraId="174D9807" w14:textId="77777777" w:rsidR="00837276" w:rsidRPr="00837276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Налоговые платежи в 2020 году составили 62,5% от объема собственных доходов бюджета или 416,6 млн. рублей, что на - 22,8 млн. рублей меньше показателей 2019 года (439,4 млн. рублей).</w:t>
      </w:r>
    </w:p>
    <w:p w14:paraId="16CE0EA6" w14:textId="29D27298" w:rsidR="00837276" w:rsidRPr="00837276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налоговых доходов в 2019 и 2020 годах представлена на рисунке 1.</w:t>
      </w:r>
    </w:p>
    <w:p w14:paraId="7A14C26E" w14:textId="6EEA251E" w:rsidR="00837276" w:rsidRPr="00837276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3A0033F3" wp14:editId="012A4DC9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4248150" cy="2819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C9902" w14:textId="3D646D37" w:rsidR="00837276" w:rsidRPr="00837276" w:rsidRDefault="00837276" w:rsidP="0003709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1-</w:t>
      </w:r>
      <w:r w:rsidRPr="00837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налоговых доходов 2019 и 2020</w:t>
      </w:r>
    </w:p>
    <w:p w14:paraId="6A26BF16" w14:textId="77777777" w:rsidR="00837276" w:rsidRPr="00837276" w:rsidRDefault="00837276" w:rsidP="008372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6EC59A06" w14:textId="77777777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2F78D5" w14:textId="77777777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FF5B037" w14:textId="77777777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AC22BA" w14:textId="77777777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B87F29" w14:textId="77777777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A946E" w14:textId="77777777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1120B3" w14:textId="77777777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00A222C" w14:textId="7218ECF9" w:rsidR="00037093" w:rsidRDefault="00037093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600EB0" w14:textId="2A203125" w:rsidR="00837276" w:rsidRPr="00837276" w:rsidRDefault="00837276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Неналоговые доходы </w:t>
      </w: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поступили </w:t>
      </w:r>
      <w:r w:rsidRPr="00837276">
        <w:rPr>
          <w:rFonts w:ascii="Times New Roman" w:hAnsi="Times New Roman" w:cs="Times New Roman"/>
          <w:color w:val="000000" w:themeColor="text1"/>
          <w:sz w:val="28"/>
          <w:szCs w:val="28"/>
        </w:rPr>
        <w:t>сумме 249,8 млн. рублей, что превысило утвержденный первоначальный план на +69,8 млн. рублей</w:t>
      </w: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20431E" w14:textId="77777777" w:rsidR="00837276" w:rsidRPr="00837276" w:rsidRDefault="00837276" w:rsidP="00037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Значительное увеличение произошло за счет роста доходов полученных:</w:t>
      </w:r>
    </w:p>
    <w:p w14:paraId="1CBB8CD3" w14:textId="77777777" w:rsidR="00837276" w:rsidRPr="00837276" w:rsidRDefault="00837276" w:rsidP="00037093">
      <w:pPr>
        <w:numPr>
          <w:ilvl w:val="0"/>
          <w:numId w:val="5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арендной платы за земли +43 млн рублей;</w:t>
      </w:r>
    </w:p>
    <w:p w14:paraId="62163399" w14:textId="77777777" w:rsidR="00837276" w:rsidRPr="00837276" w:rsidRDefault="00837276" w:rsidP="00037093">
      <w:pPr>
        <w:numPr>
          <w:ilvl w:val="0"/>
          <w:numId w:val="5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 от продажи земельных участков + 40,8 млн. рублей. </w:t>
      </w:r>
    </w:p>
    <w:p w14:paraId="785CF384" w14:textId="77777777" w:rsidR="00037093" w:rsidRDefault="00037093" w:rsidP="00037093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C65039" w14:textId="0347E65B" w:rsidR="00837276" w:rsidRPr="00837276" w:rsidRDefault="00837276" w:rsidP="00037093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Уменьшение доходов:</w:t>
      </w:r>
    </w:p>
    <w:p w14:paraId="3B0053CE" w14:textId="77777777" w:rsidR="00837276" w:rsidRPr="00837276" w:rsidRDefault="00837276" w:rsidP="00037093">
      <w:pPr>
        <w:numPr>
          <w:ilvl w:val="0"/>
          <w:numId w:val="5"/>
        </w:numPr>
        <w:spacing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276">
        <w:rPr>
          <w:rFonts w:ascii="Times New Roman" w:eastAsia="Calibri" w:hAnsi="Times New Roman" w:cs="Times New Roman"/>
          <w:sz w:val="28"/>
          <w:szCs w:val="28"/>
        </w:rPr>
        <w:t>от поступлений за аренду муниципального имущества – 2,0 млн. рублей;</w:t>
      </w:r>
    </w:p>
    <w:p w14:paraId="169BC90D" w14:textId="77777777" w:rsidR="00837276" w:rsidRPr="00837276" w:rsidRDefault="00837276" w:rsidP="00037093">
      <w:pPr>
        <w:numPr>
          <w:ilvl w:val="0"/>
          <w:numId w:val="5"/>
        </w:numPr>
        <w:spacing w:line="240" w:lineRule="auto"/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продажи имущества – 10,7 млн. рублей;</w:t>
      </w:r>
    </w:p>
    <w:p w14:paraId="717CA893" w14:textId="77777777" w:rsidR="00837276" w:rsidRPr="00837276" w:rsidRDefault="00837276" w:rsidP="00037093">
      <w:pPr>
        <w:numPr>
          <w:ilvl w:val="0"/>
          <w:numId w:val="5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неналоговые доходы уменьшились на сумму – 23,6 млн. рублей. </w:t>
      </w:r>
    </w:p>
    <w:p w14:paraId="4505C6E5" w14:textId="77777777" w:rsidR="00037093" w:rsidRDefault="00037093" w:rsidP="000370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5BF9B9" w14:textId="3AC57AD3" w:rsidR="00837276" w:rsidRDefault="00837276" w:rsidP="000370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>Динамика поступления неналоговых доходов в 2020 году представлена на рисунке 2.</w:t>
      </w:r>
    </w:p>
    <w:p w14:paraId="218824D2" w14:textId="77777777" w:rsidR="00837276" w:rsidRPr="00837276" w:rsidRDefault="00837276" w:rsidP="00837276">
      <w:pPr>
        <w:spacing w:line="360" w:lineRule="auto"/>
        <w:ind w:firstLine="567"/>
        <w:jc w:val="both"/>
        <w:rPr>
          <w:sz w:val="28"/>
          <w:szCs w:val="28"/>
        </w:rPr>
      </w:pPr>
      <w:r w:rsidRPr="00837276">
        <w:rPr>
          <w:noProof/>
          <w:lang w:val="en-US" w:eastAsia="ru-RU"/>
        </w:rPr>
        <w:drawing>
          <wp:inline distT="0" distB="0" distL="0" distR="0" wp14:anchorId="06ECC5F3" wp14:editId="1DD6A853">
            <wp:extent cx="4562475" cy="2895600"/>
            <wp:effectExtent l="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F9545E" w14:textId="77777777" w:rsidR="00837276" w:rsidRPr="00837276" w:rsidRDefault="00837276" w:rsidP="00837276">
      <w:pPr>
        <w:spacing w:line="36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 xml:space="preserve">Рисунок 2 - </w:t>
      </w:r>
      <w:r w:rsidRPr="00837276">
        <w:rPr>
          <w:rFonts w:ascii="Times New Roman" w:hAnsi="Times New Roman" w:cs="Times New Roman"/>
          <w:i/>
          <w:sz w:val="28"/>
          <w:szCs w:val="28"/>
        </w:rPr>
        <w:t>Динамика неналоговых доходов</w:t>
      </w:r>
    </w:p>
    <w:p w14:paraId="3E269050" w14:textId="085E70EC" w:rsidR="00837276" w:rsidRPr="00837276" w:rsidRDefault="00837276" w:rsidP="00837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2020 году </w:t>
      </w:r>
      <w:r w:rsidRPr="00837276">
        <w:rPr>
          <w:rFonts w:ascii="Times New Roman" w:hAnsi="Times New Roman" w:cs="Times New Roman"/>
          <w:sz w:val="28"/>
          <w:szCs w:val="28"/>
        </w:rPr>
        <w:t xml:space="preserve">составили 686,6 млн. </w:t>
      </w:r>
      <w:r w:rsidR="00037093" w:rsidRPr="00837276">
        <w:rPr>
          <w:rFonts w:ascii="Times New Roman" w:hAnsi="Times New Roman" w:cs="Times New Roman"/>
          <w:sz w:val="28"/>
          <w:szCs w:val="28"/>
        </w:rPr>
        <w:t>рублей, из которых</w:t>
      </w:r>
      <w:r w:rsidRPr="00837276">
        <w:rPr>
          <w:rFonts w:ascii="Times New Roman" w:hAnsi="Times New Roman" w:cs="Times New Roman"/>
          <w:sz w:val="28"/>
          <w:szCs w:val="28"/>
        </w:rPr>
        <w:t xml:space="preserve"> дотация -67,8 млн. рублей, субвенция – 419,9 млн. рублей, субсидия -168,7 млн. рублей, иные бюджетные трансферты – 20,6 млн. рублей, а также гранты нерезидентов и прочие безвозмездные перечисления – 9,6 млн. рублей.  </w:t>
      </w:r>
    </w:p>
    <w:p w14:paraId="5465A20F" w14:textId="77777777" w:rsidR="00837276" w:rsidRPr="00DF4965" w:rsidRDefault="00837276" w:rsidP="0083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1 млрд. 425,4 млн. рублей.</w:t>
      </w:r>
    </w:p>
    <w:p w14:paraId="5A06FE14" w14:textId="77777777" w:rsidR="00837276" w:rsidRPr="00837276" w:rsidRDefault="00837276" w:rsidP="00837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Зеленоградского городского округа осуществлялось в отчетном году посредством финансирования 22 муниципальных программ. </w:t>
      </w:r>
    </w:p>
    <w:p w14:paraId="594E1CEE" w14:textId="77777777" w:rsidR="00837276" w:rsidRPr="00837276" w:rsidRDefault="00837276" w:rsidP="00837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 xml:space="preserve">На реализацию мероприятий в области образования направлено 552,5 млн. рублей, жилищно-коммунальное хозяйство – 389,1 млн. рублей, национальной экономики – 206,6 млн. рублей, культуры – 87,8 млн. рублей, социальной политики – 32,4 млн. рублей. рублей. </w:t>
      </w:r>
    </w:p>
    <w:p w14:paraId="24B8C43C" w14:textId="484F630F" w:rsidR="00837276" w:rsidRPr="00837276" w:rsidRDefault="00837276" w:rsidP="00837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>На рисунке 4 представлена структура расходов бюджета городского округа в 2020 году.</w:t>
      </w:r>
    </w:p>
    <w:p w14:paraId="2E98230E" w14:textId="77777777" w:rsidR="00037093" w:rsidRDefault="00837276" w:rsidP="00037093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37276">
        <w:rPr>
          <w:noProof/>
          <w:lang w:val="en-US" w:eastAsia="ru-RU"/>
        </w:rPr>
        <w:lastRenderedPageBreak/>
        <w:drawing>
          <wp:inline distT="0" distB="0" distL="0" distR="0" wp14:anchorId="7C31701B" wp14:editId="0D8EADF1">
            <wp:extent cx="4886325" cy="3362325"/>
            <wp:effectExtent l="0" t="0" r="9525" b="952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37093" w:rsidRPr="00037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E5BB7" w14:textId="2D68F552" w:rsidR="00037093" w:rsidRPr="00837276" w:rsidRDefault="00037093" w:rsidP="00037093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 xml:space="preserve">Рисунок 4 - </w:t>
      </w:r>
      <w:r w:rsidRPr="00837276">
        <w:rPr>
          <w:rFonts w:ascii="Times New Roman" w:hAnsi="Times New Roman" w:cs="Times New Roman"/>
          <w:i/>
          <w:sz w:val="28"/>
          <w:szCs w:val="28"/>
        </w:rPr>
        <w:t>Структура расходов за 2020 год</w:t>
      </w:r>
    </w:p>
    <w:p w14:paraId="30472B0B" w14:textId="77777777" w:rsidR="00837276" w:rsidRPr="00837276" w:rsidRDefault="00837276" w:rsidP="00837276">
      <w:pPr>
        <w:spacing w:line="240" w:lineRule="auto"/>
        <w:ind w:firstLine="567"/>
        <w:rPr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>Объем финансирования адресной инвестиционной программы концу года составил 247,8 млн. рублей (первоначально утвержден в сумме 97,0 млн. рублей).</w:t>
      </w:r>
    </w:p>
    <w:p w14:paraId="354B00B7" w14:textId="77777777" w:rsidR="00837276" w:rsidRPr="00837276" w:rsidRDefault="00837276" w:rsidP="0083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декабре 2020 года окружным Советом депутатов своевременно принято решение «О бюджете муниципального образования «Зеленоградский городской округ» на 2021 год и плановый период 2022 и 2023 годов», со следующими основными характеристиками: </w:t>
      </w:r>
    </w:p>
    <w:p w14:paraId="19673D68" w14:textId="77777777" w:rsidR="00837276" w:rsidRPr="00837276" w:rsidRDefault="00837276" w:rsidP="0083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общим объем расходов бюджета в сумме 1639731,81 тыс. рублей;</w:t>
      </w:r>
    </w:p>
    <w:p w14:paraId="28AB78DA" w14:textId="77777777" w:rsidR="00837276" w:rsidRPr="00837276" w:rsidRDefault="00837276" w:rsidP="0083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бюджета в сумме 1598531,81 тыс. рублей, исходя из: </w:t>
      </w:r>
    </w:p>
    <w:p w14:paraId="55481444" w14:textId="77777777" w:rsidR="00837276" w:rsidRPr="00837276" w:rsidRDefault="00837276" w:rsidP="0083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налоговых и неналоговых в сумме 601500 тыс. рублей;</w:t>
      </w:r>
    </w:p>
    <w:p w14:paraId="493E6312" w14:textId="77777777" w:rsidR="00837276" w:rsidRPr="00837276" w:rsidRDefault="00837276" w:rsidP="0083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безвозмездных поступлений в сумме 997031,81тыс. рублей;</w:t>
      </w:r>
    </w:p>
    <w:p w14:paraId="796B98BB" w14:textId="77777777" w:rsidR="00837276" w:rsidRPr="00837276" w:rsidRDefault="00837276" w:rsidP="0083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 на 2021 год спрогнозирован с дефицитом бюджета на сумму 41200 тыс. руб. Основными источниками финансирования дефицита бюджета муниципального образования являются остатки средств на едином счете бюджета городского округа по состоянию на 01 января 2020 года.</w:t>
      </w:r>
    </w:p>
    <w:bookmarkEnd w:id="1"/>
    <w:p w14:paraId="598C522F" w14:textId="77777777" w:rsidR="00CB4F44" w:rsidRDefault="00CB4F44" w:rsidP="00675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01C1F4" w14:textId="2037950D" w:rsidR="00675D5D" w:rsidRPr="00826801" w:rsidRDefault="00CC782C" w:rsidP="00675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75D5D" w:rsidRPr="00826801">
        <w:rPr>
          <w:rFonts w:ascii="Times New Roman" w:hAnsi="Times New Roman" w:cs="Times New Roman"/>
          <w:b/>
          <w:i/>
          <w:sz w:val="28"/>
          <w:szCs w:val="28"/>
        </w:rPr>
        <w:t>убличны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75D5D" w:rsidRPr="00826801">
        <w:rPr>
          <w:rFonts w:ascii="Times New Roman" w:hAnsi="Times New Roman" w:cs="Times New Roman"/>
          <w:b/>
          <w:i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14:paraId="197AA228" w14:textId="77777777" w:rsidR="00675D5D" w:rsidRPr="00826801" w:rsidRDefault="00675D5D" w:rsidP="00675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AB9D65" w14:textId="10B1D7FA" w:rsidR="00675D5D" w:rsidRDefault="00675D5D" w:rsidP="0067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6801">
        <w:rPr>
          <w:rFonts w:ascii="Times New Roman" w:hAnsi="Times New Roman" w:cs="Times New Roman"/>
          <w:sz w:val="28"/>
          <w:szCs w:val="28"/>
        </w:rPr>
        <w:t xml:space="preserve"> году назначен</w:t>
      </w:r>
      <w:r w:rsidR="00CB4F44">
        <w:rPr>
          <w:rFonts w:ascii="Times New Roman" w:hAnsi="Times New Roman" w:cs="Times New Roman"/>
          <w:sz w:val="28"/>
          <w:szCs w:val="28"/>
        </w:rPr>
        <w:t xml:space="preserve">ы </w:t>
      </w:r>
      <w:r w:rsidRPr="00826801">
        <w:rPr>
          <w:rFonts w:ascii="Times New Roman" w:hAnsi="Times New Roman" w:cs="Times New Roman"/>
          <w:sz w:val="28"/>
          <w:szCs w:val="28"/>
        </w:rPr>
        <w:t>и проведен</w:t>
      </w:r>
      <w:r w:rsidR="00CB4F44">
        <w:rPr>
          <w:rFonts w:ascii="Times New Roman" w:hAnsi="Times New Roman" w:cs="Times New Roman"/>
          <w:sz w:val="28"/>
          <w:szCs w:val="28"/>
        </w:rPr>
        <w:t>ы</w:t>
      </w:r>
      <w:r w:rsidRPr="00826801">
        <w:rPr>
          <w:rFonts w:ascii="Times New Roman" w:hAnsi="Times New Roman" w:cs="Times New Roman"/>
          <w:sz w:val="28"/>
          <w:szCs w:val="28"/>
        </w:rPr>
        <w:t xml:space="preserve"> 15 публичных слушаний, их них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801">
        <w:rPr>
          <w:rFonts w:ascii="Times New Roman" w:hAnsi="Times New Roman" w:cs="Times New Roman"/>
          <w:sz w:val="28"/>
          <w:szCs w:val="28"/>
        </w:rPr>
        <w:t xml:space="preserve"> публичных слушаний назначены по постановлению главы 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6801">
        <w:rPr>
          <w:rFonts w:ascii="Times New Roman" w:hAnsi="Times New Roman" w:cs="Times New Roman"/>
          <w:sz w:val="28"/>
          <w:szCs w:val="28"/>
        </w:rPr>
        <w:t xml:space="preserve"> - по решению окружного Совета депутатов.</w:t>
      </w:r>
    </w:p>
    <w:p w14:paraId="0230EB15" w14:textId="77777777" w:rsidR="00675D5D" w:rsidRPr="00826801" w:rsidRDefault="00675D5D" w:rsidP="0067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C319F" w14:textId="77777777" w:rsidR="00CB4F44" w:rsidRDefault="00CB4F44" w:rsidP="0087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D9137B" w14:textId="77777777" w:rsidR="00CB4F44" w:rsidRDefault="00CB4F44" w:rsidP="0087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2C1346" w14:textId="77777777" w:rsidR="00CB4F44" w:rsidRDefault="00CB4F44" w:rsidP="0087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C492BF" w14:textId="77777777" w:rsidR="00CB4F44" w:rsidRDefault="00CB4F44" w:rsidP="0087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596ED5" w14:textId="700EC59A" w:rsidR="00871E29" w:rsidRDefault="00CC782C" w:rsidP="0087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65077268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871E29" w:rsidRPr="0029474E">
        <w:rPr>
          <w:rFonts w:ascii="Times New Roman" w:hAnsi="Times New Roman" w:cs="Times New Roman"/>
          <w:b/>
          <w:i/>
          <w:sz w:val="28"/>
          <w:szCs w:val="28"/>
        </w:rPr>
        <w:t>бщественных слушаний</w:t>
      </w:r>
      <w:r w:rsidR="00FB2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1E29" w:rsidRPr="001B08FA">
        <w:rPr>
          <w:rFonts w:ascii="Times New Roman" w:hAnsi="Times New Roman" w:cs="Times New Roman"/>
          <w:b/>
          <w:i/>
          <w:sz w:val="28"/>
          <w:szCs w:val="28"/>
        </w:rPr>
        <w:t xml:space="preserve">о намечаемой хозяйственной и иной деятельности, которая подлежит экологической экспертизе, </w:t>
      </w:r>
    </w:p>
    <w:p w14:paraId="2AFDABEF" w14:textId="108D3292" w:rsidR="00871E29" w:rsidRPr="001B08FA" w:rsidRDefault="00CC782C" w:rsidP="0087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71E29">
        <w:rPr>
          <w:rFonts w:ascii="Times New Roman" w:hAnsi="Times New Roman" w:cs="Times New Roman"/>
          <w:b/>
          <w:i/>
          <w:sz w:val="28"/>
          <w:szCs w:val="28"/>
        </w:rPr>
        <w:t>Зеленоградск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871E29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71E29">
        <w:rPr>
          <w:rFonts w:ascii="Times New Roman" w:hAnsi="Times New Roman" w:cs="Times New Roman"/>
          <w:b/>
          <w:i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14:paraId="60B9BF65" w14:textId="77777777" w:rsidR="00871E29" w:rsidRPr="0029474E" w:rsidRDefault="00871E29" w:rsidP="0087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F08226" w14:textId="3A61AF67" w:rsidR="00871E29" w:rsidRDefault="00871E29" w:rsidP="00871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9952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исполнение решения окружного Совета депутатов </w:t>
      </w:r>
      <w:r w:rsidRPr="00815AC0">
        <w:rPr>
          <w:rFonts w:ascii="Times New Roman" w:hAnsi="Times New Roman" w:cs="Times New Roman"/>
          <w:sz w:val="28"/>
          <w:szCs w:val="28"/>
        </w:rPr>
        <w:t xml:space="preserve">от 30 </w:t>
      </w:r>
      <w:r>
        <w:rPr>
          <w:rFonts w:ascii="Times New Roman" w:hAnsi="Times New Roman" w:cs="Times New Roman"/>
          <w:sz w:val="28"/>
          <w:szCs w:val="28"/>
        </w:rPr>
        <w:t>августа 2017 года</w:t>
      </w:r>
      <w:r w:rsidRPr="00815AC0">
        <w:rPr>
          <w:rFonts w:ascii="Times New Roman" w:hAnsi="Times New Roman" w:cs="Times New Roman"/>
          <w:sz w:val="28"/>
          <w:szCs w:val="28"/>
        </w:rPr>
        <w:t xml:space="preserve"> № 161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2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об организации общественных обсуждений в форме общественных слушаний о намечаемой хозяйственной и иной деятельности, которая подлежит экологической экспертизе, в муниципальном образовании «Зеленоградский городской округ»</w:t>
      </w:r>
      <w:r w:rsidR="009952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главой Зеленоградского городского округа шесть раз назначались, а </w:t>
      </w:r>
      <w:r w:rsidRPr="00815AC0">
        <w:rPr>
          <w:rFonts w:ascii="Times New Roman" w:hAnsi="Times New Roman"/>
          <w:sz w:val="28"/>
          <w:szCs w:val="28"/>
        </w:rPr>
        <w:t>окружным</w:t>
      </w:r>
      <w:r>
        <w:rPr>
          <w:rFonts w:ascii="Times New Roman" w:hAnsi="Times New Roman"/>
          <w:sz w:val="28"/>
          <w:szCs w:val="28"/>
        </w:rPr>
        <w:t xml:space="preserve"> Советом депутатов с участием депутатов </w:t>
      </w:r>
      <w:bookmarkStart w:id="3" w:name="_Hlk505342896"/>
      <w:r>
        <w:rPr>
          <w:rFonts w:ascii="Times New Roman" w:hAnsi="Times New Roman"/>
          <w:sz w:val="28"/>
          <w:szCs w:val="28"/>
        </w:rPr>
        <w:t xml:space="preserve">проводились 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>общественны</w:t>
      </w:r>
      <w:r>
        <w:rPr>
          <w:rFonts w:ascii="Times New Roman" w:hAnsi="Times New Roman" w:cs="Times New Roman"/>
          <w:bCs/>
          <w:noProof/>
          <w:sz w:val="28"/>
          <w:szCs w:val="28"/>
        </w:rPr>
        <w:t>е слушания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проектам 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 xml:space="preserve">намечаемой хозяйственной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и иной 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на территории Зеленоградского городского  округа, включая 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>материал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ы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 xml:space="preserve"> оценки воздействия на окружающую среду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Pr="00B043ED">
        <w:rPr>
          <w:rFonts w:ascii="Times New Roman" w:hAnsi="Times New Roman" w:cs="Times New Roman"/>
          <w:bCs/>
          <w:noProof/>
          <w:sz w:val="28"/>
          <w:szCs w:val="28"/>
        </w:rPr>
        <w:t>в целях дальнейшего прохождения государственной экологической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экспертизы</w:t>
      </w:r>
      <w:bookmarkEnd w:id="3"/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35BDBA55" w14:textId="77777777" w:rsidR="00871E29" w:rsidRDefault="00871E29" w:rsidP="00871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Общественные слушания проводились по следующим вопросам:</w:t>
      </w:r>
    </w:p>
    <w:p w14:paraId="4AA21024" w14:textId="77777777" w:rsidR="00871E29" w:rsidRPr="00B0705A" w:rsidRDefault="00871E29" w:rsidP="00871E29">
      <w:pPr>
        <w:pStyle w:val="a4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5A">
        <w:rPr>
          <w:rFonts w:ascii="Times New Roman" w:hAnsi="Times New Roman" w:cs="Times New Roman"/>
          <w:sz w:val="28"/>
          <w:szCs w:val="28"/>
        </w:rPr>
        <w:t>по</w:t>
      </w:r>
      <w:bookmarkStart w:id="4" w:name="_Hlk492022973"/>
      <w:r w:rsidRPr="00B0705A">
        <w:rPr>
          <w:rFonts w:ascii="Times New Roman" w:hAnsi="Times New Roman" w:cs="Times New Roman"/>
          <w:sz w:val="28"/>
          <w:szCs w:val="28"/>
        </w:rPr>
        <w:t xml:space="preserve"> проектной документации «Газопровод – отвод и ГРС Варница», включая материалы по оценке воздействия намечаемой хозяйственной и иной деятельности на окружающую среду (ОВОС), являющейся объектом государственной 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216EF" w14:textId="77777777" w:rsidR="00871E29" w:rsidRPr="00B0705A" w:rsidRDefault="00871E29" w:rsidP="00871E29">
      <w:pPr>
        <w:pStyle w:val="a4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по проектной документации «Переустройство газопровода-отвода к ГРС Светлогорск», включая материалы по оценке воздействия намечаемой хозяйственной и иной деятельности на окружающую среду (ОВОС),</w:t>
      </w:r>
      <w:r w:rsidRPr="00B0705A">
        <w:rPr>
          <w:rFonts w:ascii="Times New Roman" w:hAnsi="Times New Roman" w:cs="Times New Roman"/>
          <w:sz w:val="28"/>
          <w:szCs w:val="28"/>
        </w:rPr>
        <w:t xml:space="preserve"> </w:t>
      </w: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являющейся объектом государственной экологической экспертизы</w:t>
      </w:r>
      <w:r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5646B134" w14:textId="77777777" w:rsidR="00871E29" w:rsidRPr="00B0705A" w:rsidRDefault="00871E29" w:rsidP="00871E29">
      <w:pPr>
        <w:pStyle w:val="a4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по проектной документации</w:t>
      </w:r>
      <w:bookmarkStart w:id="5" w:name="_Hlk46488378"/>
      <w:r w:rsidRPr="00B0705A">
        <w:rPr>
          <w:rFonts w:ascii="Times New Roman" w:hAnsi="Times New Roman" w:cs="Times New Roman"/>
          <w:bCs/>
          <w:noProof/>
          <w:sz w:val="28"/>
          <w:szCs w:val="28"/>
        </w:rPr>
        <w:t xml:space="preserve">: «Межпоселковый газопровод высокого давления от ГРС Калининград-2, через поселки Кузнецкое, Волошино, Куликово, Зеленый Гай, с установкой ШРП (4шт) до ГРС Светлогорск </w:t>
      </w:r>
      <w:r w:rsidRPr="00B0705A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 xml:space="preserve"> и </w:t>
      </w:r>
      <w:r w:rsidRPr="00B0705A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II</w:t>
      </w: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 xml:space="preserve"> этапы», включая материалы по оценке воздействия намечаемой хозяйственной и иной деятельности на окружающую среду (ОВОС)</w:t>
      </w:r>
      <w:bookmarkEnd w:id="5"/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B0705A">
        <w:rPr>
          <w:rFonts w:ascii="Times New Roman" w:hAnsi="Times New Roman" w:cs="Times New Roman"/>
          <w:sz w:val="28"/>
          <w:szCs w:val="28"/>
        </w:rPr>
        <w:t xml:space="preserve"> </w:t>
      </w: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являющейся объектом государственной экологической экспертизы</w:t>
      </w:r>
      <w:r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710904AF" w14:textId="77777777" w:rsidR="00871E29" w:rsidRPr="00B0705A" w:rsidRDefault="00871E29" w:rsidP="00871E29">
      <w:pPr>
        <w:pStyle w:val="a4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 xml:space="preserve">по проектной </w:t>
      </w:r>
      <w:bookmarkStart w:id="6" w:name="_Hlk52352914"/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документации</w:t>
      </w:r>
      <w:bookmarkStart w:id="7" w:name="_Hlk49266893"/>
      <w:r w:rsidRPr="00B0705A">
        <w:rPr>
          <w:rFonts w:ascii="Times New Roman" w:hAnsi="Times New Roman" w:cs="Times New Roman"/>
          <w:bCs/>
          <w:noProof/>
          <w:sz w:val="28"/>
          <w:szCs w:val="28"/>
        </w:rPr>
        <w:t xml:space="preserve"> по реконструкции объекта: «Свайно – ячеистая берма в п. Лесной на Куршской косе»</w:t>
      </w:r>
      <w:bookmarkEnd w:id="6"/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, включая материалы по оценке воздействия намечаемой хозяйственной и иной деятельности на окружающую среду (ОВОС)</w:t>
      </w:r>
      <w:bookmarkEnd w:id="7"/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B0705A">
        <w:rPr>
          <w:rFonts w:ascii="Times New Roman" w:hAnsi="Times New Roman" w:cs="Times New Roman"/>
          <w:sz w:val="28"/>
          <w:szCs w:val="28"/>
        </w:rPr>
        <w:t xml:space="preserve"> </w:t>
      </w: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являющейся объектом государственной экологической экспертизы</w:t>
      </w:r>
      <w:r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0205A3E4" w14:textId="1C00D31D" w:rsidR="00871E29" w:rsidRPr="00B0705A" w:rsidRDefault="00871E29" w:rsidP="00871E29">
      <w:pPr>
        <w:pStyle w:val="a4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по «Программе инженерных изысканий на объекте: «Площадка для размещения и эксплуатации самоподъемной плавучей буровой установки (СПБУ) на точке бурения разведочной скважины №2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B0705A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D</w:t>
      </w: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6-южное»», включая материалы по оценке воздействия намечаемой хозяйственной и иной деятельности на окружающую среду (ОВОС)</w:t>
      </w:r>
      <w:r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2D6D0E1D" w14:textId="77777777" w:rsidR="00871E29" w:rsidRPr="00B0705A" w:rsidRDefault="00871E29" w:rsidP="00871E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0705A">
        <w:rPr>
          <w:rFonts w:ascii="Times New Roman" w:hAnsi="Times New Roman" w:cs="Times New Roman"/>
          <w:bCs/>
          <w:noProof/>
          <w:sz w:val="28"/>
          <w:szCs w:val="28"/>
        </w:rPr>
        <w:t>по проектной документации «Строительство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 в г. Пионерский, Калининградской области», включая материалы по оценке воздействия намечаемой хозяйственной и иной деятельности на окружающую среду (ОВОС)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bookmarkEnd w:id="4"/>
    <w:p w14:paraId="4BC32F6D" w14:textId="77777777" w:rsidR="00871E29" w:rsidRDefault="00871E29" w:rsidP="00871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 связи с неблагоприятной эпидемиологической обстановкой общественные слушания проводились в том числе </w:t>
      </w:r>
      <w:r w:rsidRPr="00522170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 в режиме видеоконференцсвязи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. Участвующие в общественных слушаниях представители общественности одобрили 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>намечаем</w:t>
      </w:r>
      <w:r>
        <w:rPr>
          <w:rFonts w:ascii="Times New Roman" w:hAnsi="Times New Roman" w:cs="Times New Roman"/>
          <w:bCs/>
          <w:noProof/>
          <w:sz w:val="28"/>
          <w:szCs w:val="28"/>
        </w:rPr>
        <w:t>ую хозяйственную</w:t>
      </w:r>
      <w:r w:rsidRPr="002E5BD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деятельность на территории Зеленоградского городского округа. </w:t>
      </w:r>
    </w:p>
    <w:p w14:paraId="3AA4DACF" w14:textId="77777777" w:rsidR="00617B89" w:rsidRPr="00617B89" w:rsidRDefault="00617B89" w:rsidP="00617B89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bookmarkEnd w:id="2"/>
    <w:p w14:paraId="7EE741C4" w14:textId="6B29B8D6" w:rsidR="00617B89" w:rsidRPr="00826801" w:rsidRDefault="00617B89" w:rsidP="00617B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обращениями граждан</w:t>
      </w:r>
    </w:p>
    <w:p w14:paraId="08D2FD76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   Неотъемлемой и приоритетной частью в работе главы муниципального образования и депутатов является работа с населением. </w:t>
      </w:r>
    </w:p>
    <w:p w14:paraId="215248A6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    На официальном сайте муниципального образования представлена информация о главе муниципального образования, составе депутатского корпуса, график приема населения депутатами, принятые решения, контактная информация.</w:t>
      </w:r>
    </w:p>
    <w:p w14:paraId="6CB9C54B" w14:textId="0E6FB3D1" w:rsidR="00617B89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5D">
        <w:rPr>
          <w:rFonts w:ascii="Times New Roman" w:hAnsi="Times New Roman" w:cs="Times New Roman"/>
          <w:sz w:val="28"/>
          <w:szCs w:val="28"/>
        </w:rPr>
        <w:t xml:space="preserve">         Один из важнейших каналов обратной связи с населением муниципального образования - работа с обращениями граждан</w:t>
      </w:r>
      <w:r w:rsidRPr="00675D5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6069E">
        <w:rPr>
          <w:rFonts w:ascii="Times New Roman" w:hAnsi="Times New Roman" w:cs="Times New Roman"/>
          <w:sz w:val="28"/>
          <w:szCs w:val="28"/>
        </w:rPr>
        <w:t>Надо сказать, что в условиях вспышки вируса COVID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9E">
        <w:rPr>
          <w:rFonts w:ascii="Times New Roman" w:hAnsi="Times New Roman" w:cs="Times New Roman"/>
          <w:sz w:val="28"/>
          <w:szCs w:val="28"/>
        </w:rPr>
        <w:t>19 дистанционная работа и режим онлайн остаются единственными вариантами работы депутатов с избирателями.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44">
        <w:rPr>
          <w:rFonts w:ascii="Times New Roman" w:hAnsi="Times New Roman" w:cs="Times New Roman"/>
          <w:sz w:val="28"/>
          <w:szCs w:val="28"/>
        </w:rPr>
        <w:t>Главой и д</w:t>
      </w:r>
      <w:r>
        <w:rPr>
          <w:rFonts w:ascii="Times New Roman" w:hAnsi="Times New Roman" w:cs="Times New Roman"/>
          <w:sz w:val="28"/>
          <w:szCs w:val="28"/>
        </w:rPr>
        <w:t xml:space="preserve">епутатами </w:t>
      </w:r>
      <w:r w:rsidR="00CB4F44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дистанционный прием граждан: обращения принимались по телефону, через электронную почту.</w:t>
      </w:r>
    </w:p>
    <w:p w14:paraId="2DD2C8E8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  Рассмотрение письменных обращений осуществляется в соответствии с Федеральным законом от 02.05.2006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26801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0A722D19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6801">
        <w:rPr>
          <w:rFonts w:ascii="Times New Roman" w:hAnsi="Times New Roman" w:cs="Times New Roman"/>
          <w:sz w:val="28"/>
          <w:szCs w:val="28"/>
        </w:rPr>
        <w:t xml:space="preserve"> году в адрес окружного Совета депутатов и главы муниципального образования поступило 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826801">
        <w:rPr>
          <w:rFonts w:ascii="Times New Roman" w:hAnsi="Times New Roman" w:cs="Times New Roman"/>
          <w:sz w:val="28"/>
          <w:szCs w:val="28"/>
        </w:rPr>
        <w:t xml:space="preserve"> документов (АППГ- 41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6801">
        <w:rPr>
          <w:rFonts w:ascii="Times New Roman" w:hAnsi="Times New Roman" w:cs="Times New Roman"/>
          <w:sz w:val="28"/>
          <w:szCs w:val="28"/>
        </w:rPr>
        <w:t xml:space="preserve"> документов), из них письменных обращений граждан - 4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6801">
        <w:rPr>
          <w:rFonts w:ascii="Times New Roman" w:hAnsi="Times New Roman" w:cs="Times New Roman"/>
          <w:sz w:val="28"/>
          <w:szCs w:val="28"/>
        </w:rPr>
        <w:t xml:space="preserve"> (АППГ- 4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801">
        <w:rPr>
          <w:rFonts w:ascii="Times New Roman" w:hAnsi="Times New Roman" w:cs="Times New Roman"/>
          <w:sz w:val="28"/>
          <w:szCs w:val="28"/>
        </w:rPr>
        <w:t xml:space="preserve">), коллективных обращений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8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 (АППГ -17)</w:t>
      </w:r>
      <w:r w:rsidRPr="00826801">
        <w:rPr>
          <w:rFonts w:ascii="Times New Roman" w:hAnsi="Times New Roman" w:cs="Times New Roman"/>
          <w:sz w:val="28"/>
          <w:szCs w:val="28"/>
        </w:rPr>
        <w:t>.  Из общего количества поступивших обращений граждан,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801">
        <w:rPr>
          <w:rFonts w:ascii="Times New Roman" w:hAnsi="Times New Roman" w:cs="Times New Roman"/>
          <w:sz w:val="28"/>
          <w:szCs w:val="28"/>
        </w:rPr>
        <w:t xml:space="preserve"> обращений по вопросам, отнесенным законом к компетенции исполнительно-распорядительного органа местного самоуправления, были направлены по принадлежности с соответствующими разъяснениями заявителям. </w:t>
      </w:r>
    </w:p>
    <w:p w14:paraId="5938D021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 Анализ поступивших за отчетный год показал, что преобладают обращения граждан по проблемам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по вопросам строительства и ремонта дорог</w:t>
      </w:r>
      <w:r w:rsidRPr="008268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556BB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По вопросам ЖКХ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801">
        <w:rPr>
          <w:rFonts w:ascii="Times New Roman" w:hAnsi="Times New Roman" w:cs="Times New Roman"/>
          <w:sz w:val="28"/>
          <w:szCs w:val="28"/>
        </w:rPr>
        <w:t xml:space="preserve"> обращения (АППГ-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6801">
        <w:rPr>
          <w:rFonts w:ascii="Times New Roman" w:hAnsi="Times New Roman" w:cs="Times New Roman"/>
          <w:sz w:val="28"/>
          <w:szCs w:val="28"/>
        </w:rPr>
        <w:t>).</w:t>
      </w:r>
    </w:p>
    <w:p w14:paraId="432D2E7B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26801">
        <w:rPr>
          <w:rFonts w:ascii="Times New Roman" w:hAnsi="Times New Roman" w:cs="Times New Roman"/>
          <w:sz w:val="28"/>
          <w:szCs w:val="28"/>
        </w:rPr>
        <w:t>обращения граждан касались мер социальной поддержки и оказания материальной помощи (АППГ-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801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14:paraId="375D09EA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С жалобами на состояние и некачественное обслуживание и ремонт дорог поступило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6801">
        <w:rPr>
          <w:rFonts w:ascii="Times New Roman" w:hAnsi="Times New Roman" w:cs="Times New Roman"/>
          <w:sz w:val="28"/>
          <w:szCs w:val="28"/>
        </w:rPr>
        <w:t xml:space="preserve"> обращений (АППГ-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6801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14:paraId="075218B3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Остальная часть обращений включала просьбы о юридической поддержке граждан, материальной помощи и др.</w:t>
      </w:r>
    </w:p>
    <w:p w14:paraId="738A3176" w14:textId="77777777" w:rsidR="00617B89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801">
        <w:rPr>
          <w:rFonts w:ascii="Times New Roman" w:hAnsi="Times New Roman" w:cs="Times New Roman"/>
          <w:sz w:val="28"/>
          <w:szCs w:val="28"/>
        </w:rPr>
        <w:t xml:space="preserve"> Наибольшее количество обратившихся граждан зафиксировано по округу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6801">
        <w:rPr>
          <w:rFonts w:ascii="Times New Roman" w:hAnsi="Times New Roman" w:cs="Times New Roman"/>
          <w:sz w:val="28"/>
          <w:szCs w:val="28"/>
        </w:rPr>
        <w:t xml:space="preserve"> (депутат Васильев А.Н.)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801">
        <w:rPr>
          <w:rFonts w:ascii="Times New Roman" w:hAnsi="Times New Roman" w:cs="Times New Roman"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26801">
        <w:rPr>
          <w:rFonts w:ascii="Times New Roman" w:hAnsi="Times New Roman" w:cs="Times New Roman"/>
          <w:sz w:val="28"/>
          <w:szCs w:val="28"/>
        </w:rPr>
        <w:t xml:space="preserve">(депутат </w:t>
      </w:r>
      <w:r>
        <w:rPr>
          <w:rFonts w:ascii="Times New Roman" w:hAnsi="Times New Roman" w:cs="Times New Roman"/>
          <w:sz w:val="28"/>
          <w:szCs w:val="28"/>
        </w:rPr>
        <w:t>Кухарев Л.Ю.</w:t>
      </w:r>
      <w:r w:rsidRPr="00826801">
        <w:rPr>
          <w:rFonts w:ascii="Times New Roman" w:hAnsi="Times New Roman" w:cs="Times New Roman"/>
          <w:sz w:val="28"/>
          <w:szCs w:val="28"/>
        </w:rPr>
        <w:t>), округу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6801">
        <w:rPr>
          <w:rFonts w:ascii="Times New Roman" w:hAnsi="Times New Roman" w:cs="Times New Roman"/>
          <w:sz w:val="28"/>
          <w:szCs w:val="28"/>
        </w:rPr>
        <w:t xml:space="preserve"> (депутат </w:t>
      </w:r>
      <w:r>
        <w:rPr>
          <w:rFonts w:ascii="Times New Roman" w:hAnsi="Times New Roman" w:cs="Times New Roman"/>
          <w:sz w:val="28"/>
          <w:szCs w:val="28"/>
        </w:rPr>
        <w:t>Носырев О.В.</w:t>
      </w:r>
      <w:r w:rsidRPr="0082680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798830A" w14:textId="77777777" w:rsidR="00617B89" w:rsidRPr="00826801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  Поступившая информация помогает депутатам в решении проблем своих избирательных округов, дает им объективную информацию о ситуации во всех </w:t>
      </w:r>
      <w:r w:rsidRPr="00826801">
        <w:rPr>
          <w:rFonts w:ascii="Times New Roman" w:hAnsi="Times New Roman" w:cs="Times New Roman"/>
          <w:sz w:val="28"/>
          <w:szCs w:val="28"/>
        </w:rPr>
        <w:lastRenderedPageBreak/>
        <w:t>сферах жизнедеятельности их избирательного округа. Депутатская деятельность направлена на поиск возможностей положительного влияния и реального решения возникающих у жителей проблем, обеспечение сбалансированности интересов различных групп населения и формирование доверие граждан к деятельности властных структур.</w:t>
      </w:r>
    </w:p>
    <w:p w14:paraId="50E7E42F" w14:textId="77777777" w:rsidR="00617B89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 На все обращения даны исчерпывающие разъяснения и детальные ответы, а также направлены ходатайства об оказании содействия в компетентные органы. Многим заявителям оказана помощь в подготовке письменного обращения по компетенции в различные структуры. </w:t>
      </w:r>
    </w:p>
    <w:p w14:paraId="19FF3E9E" w14:textId="77777777" w:rsidR="00871E29" w:rsidRDefault="00871E29" w:rsidP="00871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7F01A5" w14:textId="77777777" w:rsidR="00617B89" w:rsidRPr="00826801" w:rsidRDefault="00617B89" w:rsidP="00617B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Противодействие коррупции</w:t>
      </w:r>
    </w:p>
    <w:p w14:paraId="416EEE62" w14:textId="77777777" w:rsidR="00617B89" w:rsidRPr="00826801" w:rsidRDefault="00617B89" w:rsidP="006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E29">
        <w:rPr>
          <w:rFonts w:ascii="Times New Roman" w:hAnsi="Times New Roman" w:cs="Times New Roman"/>
          <w:sz w:val="28"/>
          <w:szCs w:val="28"/>
        </w:rPr>
        <w:t>В сфере реализации положений Федерального закона «О противодействии коррупции»</w:t>
      </w:r>
      <w:r w:rsidRPr="00826801">
        <w:rPr>
          <w:rFonts w:ascii="Times New Roman" w:hAnsi="Times New Roman" w:cs="Times New Roman"/>
          <w:sz w:val="28"/>
          <w:szCs w:val="28"/>
        </w:rPr>
        <w:t xml:space="preserve"> в окружном Совете депутатов образована комиссия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интересов.</w:t>
      </w:r>
    </w:p>
    <w:p w14:paraId="57BBFE77" w14:textId="78ADFE4E" w:rsidR="00617B89" w:rsidRPr="00826801" w:rsidRDefault="00617B89" w:rsidP="006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  Сведения о доходах, расходах, об имуществе и обязательствах имущественного характера депутатами окружного Совета </w:t>
      </w:r>
      <w:r w:rsidR="0098073C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Pr="0082680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6801">
        <w:rPr>
          <w:rFonts w:ascii="Times New Roman" w:hAnsi="Times New Roman" w:cs="Times New Roman"/>
          <w:sz w:val="28"/>
          <w:szCs w:val="28"/>
        </w:rPr>
        <w:t xml:space="preserve"> году предоставлены в </w:t>
      </w:r>
      <w:r w:rsidR="009E2C0A">
        <w:rPr>
          <w:rFonts w:ascii="Times New Roman" w:hAnsi="Times New Roman" w:cs="Times New Roman"/>
          <w:sz w:val="28"/>
          <w:szCs w:val="28"/>
        </w:rPr>
        <w:t>Службу по противодействию</w:t>
      </w:r>
      <w:r w:rsidRPr="00826801">
        <w:rPr>
          <w:rFonts w:ascii="Times New Roman" w:hAnsi="Times New Roman" w:cs="Times New Roman"/>
          <w:sz w:val="28"/>
          <w:szCs w:val="28"/>
        </w:rPr>
        <w:t xml:space="preserve"> Калининградской области в установленные сроки и, в соответствии с действующим законодательством, размещены на официальном сайте муниципального образования «Зеленоградский городской округ».</w:t>
      </w:r>
    </w:p>
    <w:p w14:paraId="621E0567" w14:textId="77777777" w:rsidR="00617B89" w:rsidRPr="00826801" w:rsidRDefault="00617B89" w:rsidP="00617B89">
      <w:pPr>
        <w:spacing w:after="0" w:line="240" w:lineRule="auto"/>
        <w:ind w:right="-1" w:firstLine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    </w:t>
      </w:r>
      <w:r w:rsidRPr="00826801">
        <w:rPr>
          <w:rFonts w:ascii="Times New Roman" w:eastAsiaTheme="minorHAnsi" w:hAnsi="Times New Roman" w:cs="Times New Roman"/>
          <w:sz w:val="28"/>
          <w:szCs w:val="28"/>
        </w:rPr>
        <w:t xml:space="preserve"> Заключений по результатам независимой антикоррупционной экспертизы нормативно-правовых актов и их проектов в окружной Совет депутатов Зеленоградского городского округа в 20</w:t>
      </w:r>
      <w:r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826801">
        <w:rPr>
          <w:rFonts w:ascii="Times New Roman" w:eastAsiaTheme="minorHAnsi" w:hAnsi="Times New Roman" w:cs="Times New Roman"/>
          <w:sz w:val="28"/>
          <w:szCs w:val="28"/>
        </w:rPr>
        <w:t xml:space="preserve"> году не поступало.</w:t>
      </w:r>
    </w:p>
    <w:p w14:paraId="3F690B16" w14:textId="77777777" w:rsidR="0024415F" w:rsidRPr="0024415F" w:rsidRDefault="0024415F" w:rsidP="00617B89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14:paraId="17AC6E2D" w14:textId="54684698" w:rsidR="00617B89" w:rsidRDefault="00617B89" w:rsidP="00617B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4E">
        <w:rPr>
          <w:rFonts w:ascii="Times New Roman" w:hAnsi="Times New Roman" w:cs="Times New Roman"/>
          <w:b/>
          <w:i/>
          <w:sz w:val="28"/>
          <w:szCs w:val="28"/>
        </w:rPr>
        <w:t>Судебная работа</w:t>
      </w:r>
    </w:p>
    <w:p w14:paraId="4D0B6128" w14:textId="77777777" w:rsidR="00617B89" w:rsidRDefault="00617B89" w:rsidP="00617B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окружной Совет депутатов Зеленоградского городского округа неоднократно привлекался к участию в судебных делах, рассматриваемых судами общей юрисдикции, Уставным Судом Калининградской области. </w:t>
      </w:r>
    </w:p>
    <w:p w14:paraId="489B06D6" w14:textId="77777777" w:rsidR="00617B89" w:rsidRDefault="00617B89" w:rsidP="00617B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Уставным Судом Калининградской области окружной Совет депутатов дважды привлекался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обращениям</w:t>
      </w:r>
      <w:r w:rsidRPr="009D3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депутата Калининградской областной Думы шестого созыва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Федорова П.Н.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по делам: </w:t>
      </w:r>
    </w:p>
    <w:p w14:paraId="7E620845" w14:textId="77777777" w:rsidR="00617B89" w:rsidRPr="009E2C0A" w:rsidRDefault="00617B89" w:rsidP="00617B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соответствии Уставу (Основному Закону) Калининградской области пункта 37 части 1 статьи 4 Устава муниципального образования «Зеленоградский городской округ» Калининградской области, принятого решением районного Совета депутатов муниципального образования «Зеленоградский район» от 30 сентября 2015 года № 283 «О принятии Устава </w:t>
      </w:r>
      <w:r w:rsidRPr="009E2C0A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округ»;</w:t>
      </w:r>
    </w:p>
    <w:p w14:paraId="11E438AE" w14:textId="77777777" w:rsidR="00617B89" w:rsidRPr="009E2C0A" w:rsidRDefault="00617B89" w:rsidP="00617B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0A">
        <w:rPr>
          <w:rFonts w:ascii="Times New Roman" w:hAnsi="Times New Roman" w:cs="Times New Roman"/>
          <w:sz w:val="28"/>
          <w:szCs w:val="28"/>
        </w:rPr>
        <w:t xml:space="preserve">- о соответствии Уставу (Основному Закону) Калининградской области решения окружного Совета депутатов муниципального образования «Зеленоградский городской округ» от 4 ноября 2016 года № 101 «Об </w:t>
      </w:r>
      <w:r w:rsidRPr="009E2C0A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увольнения (освобождения от должности) лица, замещающего муниципальную должность в окружном Совете депутатов муниципального образования «Зеленоградский городской округ», в связи с утратой доверия» по форме нормативного правового акта.</w:t>
      </w:r>
    </w:p>
    <w:p w14:paraId="7B5F1731" w14:textId="77777777" w:rsidR="00617B89" w:rsidRPr="009E2C0A" w:rsidRDefault="00617B89" w:rsidP="00617B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0A">
        <w:rPr>
          <w:rFonts w:ascii="Times New Roman" w:hAnsi="Times New Roman" w:cs="Times New Roman"/>
          <w:sz w:val="28"/>
          <w:szCs w:val="28"/>
        </w:rPr>
        <w:t>Уставным Судом Калининградской области данные дела были прекращены.</w:t>
      </w:r>
    </w:p>
    <w:p w14:paraId="0A09A48C" w14:textId="77777777" w:rsidR="00617B89" w:rsidRPr="009E2C0A" w:rsidRDefault="00617B89" w:rsidP="00617B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0A">
        <w:rPr>
          <w:rFonts w:ascii="Times New Roman" w:hAnsi="Times New Roman" w:cs="Times New Roman"/>
          <w:sz w:val="28"/>
          <w:szCs w:val="28"/>
        </w:rPr>
        <w:t xml:space="preserve">В 2020 году Калининградским областным судом окружной Совет депутатов также дважды привлекался в качестве административного ответчика по административным делам об оспаривании нормативных правовых актов, принятых как действующими до 2016 года на территории Зеленоградского района представительными органами местного самоуправления, так и принятого в 2019 году окружным Советом депутатов (первого созыва). Оба решения в законную силу не вступили в связи с их оспариванием в настоящее время в апелляционном порядке. </w:t>
      </w:r>
    </w:p>
    <w:p w14:paraId="2EFA3825" w14:textId="77777777" w:rsidR="00617B89" w:rsidRPr="009E2C0A" w:rsidRDefault="00617B89" w:rsidP="00617B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0A">
        <w:rPr>
          <w:rFonts w:ascii="Times New Roman" w:hAnsi="Times New Roman" w:cs="Times New Roman"/>
          <w:sz w:val="28"/>
          <w:szCs w:val="28"/>
        </w:rPr>
        <w:t xml:space="preserve">Также в 2020 году окружной Совет депутатов трижды привлекался Зеленоградским районным судом по заявлениям граждан для участия в гражданских и административных делах в качестве третьего лица, не заявляющего самостоятельных требований, заинтересованного лица и административного ответчика. Одно заявление гражданина удовлетворено, в других случаях - заявителям было отказано. </w:t>
      </w:r>
    </w:p>
    <w:p w14:paraId="5048C080" w14:textId="77777777" w:rsidR="00617B89" w:rsidRPr="009E2C0A" w:rsidRDefault="00617B89" w:rsidP="009E2C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0A">
        <w:rPr>
          <w:rFonts w:ascii="Times New Roman" w:hAnsi="Times New Roman" w:cs="Times New Roman"/>
          <w:sz w:val="28"/>
          <w:szCs w:val="28"/>
        </w:rPr>
        <w:t>Так, заявитель А. в порядке административного судопроизводства оспаривал законность решения окружного Совета депутатов (второго созыва) от 19 октября 2020 года № 16 «О назначении на должность главы администрации муниципального образования «Зеленоградский городской округ» Калининградской области Кошевого Сергея Андреевича», просил решение отменить и обязать окружной Совет депутатов расторгнуть контракт с главой администрации. Зеленоградским районным судом заявителю было отказано. Решение в законную силу не вступило в связи с его обжалованием в настоящее время в апелляционной порядке.</w:t>
      </w:r>
    </w:p>
    <w:p w14:paraId="120DDF45" w14:textId="77777777" w:rsidR="00617B89" w:rsidRPr="009E2C0A" w:rsidRDefault="00617B89" w:rsidP="009E2C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0A">
        <w:rPr>
          <w:rFonts w:ascii="Times New Roman" w:hAnsi="Times New Roman" w:cs="Times New Roman"/>
          <w:sz w:val="28"/>
          <w:szCs w:val="28"/>
        </w:rPr>
        <w:t xml:space="preserve">Таким образом, в 2020 году решения, принятые окружным Советом депутатов Зеленоградского городского округа первого и второго созыва, в судебном порядке недействующими не признавались. </w:t>
      </w:r>
    </w:p>
    <w:p w14:paraId="1FB8B25A" w14:textId="77777777" w:rsidR="00E5173A" w:rsidRPr="009E2C0A" w:rsidRDefault="00E5173A" w:rsidP="009E2C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48BF54" w14:textId="11B7B220" w:rsidR="00601B7B" w:rsidRPr="00516836" w:rsidRDefault="00337583" w:rsidP="0051683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6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Заключительные положения</w:t>
      </w:r>
    </w:p>
    <w:p w14:paraId="27428DB1" w14:textId="77777777" w:rsidR="00516836" w:rsidRDefault="00516836" w:rsidP="00516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458D8" w14:textId="77777777" w:rsidR="00C8716A" w:rsidRDefault="00516836" w:rsidP="00C87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23B9" w:rsidRPr="009E2C0A">
        <w:rPr>
          <w:rFonts w:ascii="Times New Roman" w:hAnsi="Times New Roman" w:cs="Times New Roman"/>
          <w:sz w:val="28"/>
          <w:szCs w:val="28"/>
        </w:rPr>
        <w:t xml:space="preserve">   </w:t>
      </w:r>
      <w:r w:rsidR="00D01CA6" w:rsidRPr="009E2C0A">
        <w:rPr>
          <w:rFonts w:ascii="Times New Roman" w:hAnsi="Times New Roman" w:cs="Times New Roman"/>
          <w:sz w:val="28"/>
          <w:szCs w:val="28"/>
        </w:rPr>
        <w:t>Подводя итоги работы за 20</w:t>
      </w:r>
      <w:r w:rsidR="00873615" w:rsidRPr="009E2C0A">
        <w:rPr>
          <w:rFonts w:ascii="Times New Roman" w:hAnsi="Times New Roman" w:cs="Times New Roman"/>
          <w:sz w:val="28"/>
          <w:szCs w:val="28"/>
        </w:rPr>
        <w:t>20</w:t>
      </w:r>
      <w:r w:rsidR="00D01CA6" w:rsidRPr="009E2C0A">
        <w:rPr>
          <w:rFonts w:ascii="Times New Roman" w:hAnsi="Times New Roman" w:cs="Times New Roman"/>
          <w:sz w:val="28"/>
          <w:szCs w:val="28"/>
        </w:rPr>
        <w:t xml:space="preserve"> год, следует отметить, что</w:t>
      </w:r>
      <w:r w:rsidR="0098073C" w:rsidRPr="009E2C0A">
        <w:rPr>
          <w:rFonts w:ascii="Times New Roman" w:hAnsi="Times New Roman" w:cs="Times New Roman"/>
          <w:sz w:val="28"/>
          <w:szCs w:val="28"/>
        </w:rPr>
        <w:t xml:space="preserve"> прошедший год был нелегким и в первую очередь это связано со сложной эпидемиологической обстановкой и на ее фоне финансово-экономической ситуацией в стране. Вынужденные ограничительные меры ставят перед муниципалитетом новые задачи, связанные с преодолением негативных последствий в экономике муниципального образования.  </w:t>
      </w:r>
    </w:p>
    <w:p w14:paraId="008687F1" w14:textId="7AA63B62" w:rsidR="00103E0F" w:rsidRDefault="00C8716A" w:rsidP="00A20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0EAC" w:rsidRPr="009E2C0A">
        <w:rPr>
          <w:rFonts w:ascii="Times New Roman" w:hAnsi="Times New Roman" w:cs="Times New Roman"/>
          <w:sz w:val="28"/>
          <w:szCs w:val="28"/>
        </w:rPr>
        <w:t xml:space="preserve"> </w:t>
      </w:r>
      <w:r w:rsidR="00103E0F" w:rsidRPr="009E2C0A">
        <w:rPr>
          <w:rFonts w:ascii="Times New Roman" w:hAnsi="Times New Roman" w:cs="Times New Roman"/>
          <w:sz w:val="28"/>
          <w:szCs w:val="28"/>
        </w:rPr>
        <w:t xml:space="preserve"> </w:t>
      </w:r>
      <w:r w:rsidR="00DA0EAC">
        <w:rPr>
          <w:rFonts w:ascii="Times New Roman" w:hAnsi="Times New Roman" w:cs="Times New Roman"/>
          <w:sz w:val="28"/>
          <w:szCs w:val="28"/>
        </w:rPr>
        <w:t xml:space="preserve"> </w:t>
      </w:r>
      <w:r w:rsidR="00103E0F">
        <w:rPr>
          <w:rFonts w:ascii="Times New Roman" w:hAnsi="Times New Roman" w:cs="Times New Roman"/>
          <w:sz w:val="28"/>
          <w:szCs w:val="28"/>
        </w:rPr>
        <w:t xml:space="preserve">  </w:t>
      </w:r>
      <w:r w:rsidR="00DA0EAC">
        <w:rPr>
          <w:rFonts w:ascii="Times New Roman" w:hAnsi="Times New Roman" w:cs="Times New Roman"/>
          <w:sz w:val="28"/>
          <w:szCs w:val="28"/>
        </w:rPr>
        <w:t>13 сентября 2020 года в Единый день голосования прошли выборы в окружной Совет депутатов Зеленоградского городского округа второго созыва. По итогам выборов в окружной Совет депутатов депутатски</w:t>
      </w:r>
      <w:r w:rsidR="00103E0F">
        <w:rPr>
          <w:rFonts w:ascii="Times New Roman" w:hAnsi="Times New Roman" w:cs="Times New Roman"/>
          <w:sz w:val="28"/>
          <w:szCs w:val="28"/>
        </w:rPr>
        <w:t>е</w:t>
      </w:r>
      <w:r w:rsidR="00DA0EAC">
        <w:rPr>
          <w:rFonts w:ascii="Times New Roman" w:hAnsi="Times New Roman" w:cs="Times New Roman"/>
          <w:sz w:val="28"/>
          <w:szCs w:val="28"/>
        </w:rPr>
        <w:t xml:space="preserve"> мандат</w:t>
      </w:r>
      <w:r w:rsidR="00103E0F">
        <w:rPr>
          <w:rFonts w:ascii="Times New Roman" w:hAnsi="Times New Roman" w:cs="Times New Roman"/>
          <w:sz w:val="28"/>
          <w:szCs w:val="28"/>
        </w:rPr>
        <w:t xml:space="preserve">ы </w:t>
      </w:r>
      <w:r w:rsidR="00F860C0">
        <w:rPr>
          <w:rFonts w:ascii="Times New Roman" w:hAnsi="Times New Roman" w:cs="Times New Roman"/>
          <w:sz w:val="28"/>
          <w:szCs w:val="28"/>
        </w:rPr>
        <w:t xml:space="preserve">по единому избирательному округу </w:t>
      </w:r>
      <w:r w:rsidR="00103E0F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14:paraId="3384BAD2" w14:textId="662ECD96" w:rsidR="00103E0F" w:rsidRPr="00103E0F" w:rsidRDefault="00103E0F" w:rsidP="00103E0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103E0F">
        <w:rPr>
          <w:rFonts w:ascii="Times New Roman" w:hAnsi="Times New Roman" w:cs="Times New Roman"/>
          <w:sz w:val="28"/>
          <w:szCs w:val="28"/>
          <w:lang w:eastAsia="ru-RU"/>
        </w:rPr>
        <w:t xml:space="preserve">Зеленоградское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местное</w:t>
      </w:r>
      <w:r w:rsidRPr="00103E0F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</w:t>
      </w:r>
      <w:r w:rsidRPr="00103E0F">
        <w:rPr>
          <w:rFonts w:ascii="Times New Roman" w:hAnsi="Times New Roman" w:cs="Times New Roman"/>
          <w:sz w:val="28"/>
          <w:szCs w:val="28"/>
        </w:rPr>
        <w:t xml:space="preserve"> </w:t>
      </w:r>
      <w:r w:rsidR="00DA0EAC" w:rsidRPr="00103E0F"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Pr="00103E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E0F">
        <w:rPr>
          <w:rFonts w:ascii="Times New Roman" w:hAnsi="Times New Roman" w:cs="Times New Roman"/>
          <w:sz w:val="28"/>
          <w:szCs w:val="28"/>
        </w:rPr>
        <w:t xml:space="preserve"> мандатов;</w:t>
      </w:r>
    </w:p>
    <w:p w14:paraId="3291F140" w14:textId="66EE95D2" w:rsidR="00103E0F" w:rsidRPr="00103E0F" w:rsidRDefault="00103E0F" w:rsidP="00103E0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A0EAC" w:rsidRPr="00103E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0F">
        <w:rPr>
          <w:rFonts w:ascii="Times New Roman" w:hAnsi="Times New Roman" w:cs="Times New Roman"/>
          <w:sz w:val="28"/>
          <w:szCs w:val="28"/>
          <w:lang w:eastAsia="ru-RU"/>
        </w:rPr>
        <w:t>Зеленоградское районное отделение</w:t>
      </w:r>
      <w:r w:rsidRPr="00103E0F">
        <w:rPr>
          <w:rFonts w:ascii="Times New Roman" w:hAnsi="Times New Roman" w:cs="Times New Roman"/>
          <w:sz w:val="28"/>
          <w:szCs w:val="28"/>
        </w:rPr>
        <w:t xml:space="preserve"> </w:t>
      </w:r>
      <w:r w:rsidR="00DA0EAC" w:rsidRPr="00103E0F">
        <w:rPr>
          <w:rFonts w:ascii="Times New Roman" w:hAnsi="Times New Roman" w:cs="Times New Roman"/>
          <w:sz w:val="28"/>
          <w:szCs w:val="28"/>
        </w:rPr>
        <w:t>парти</w:t>
      </w:r>
      <w:r w:rsidRPr="00103E0F">
        <w:rPr>
          <w:rFonts w:ascii="Times New Roman" w:hAnsi="Times New Roman" w:cs="Times New Roman"/>
          <w:sz w:val="28"/>
          <w:szCs w:val="28"/>
        </w:rPr>
        <w:t>и</w:t>
      </w:r>
      <w:r w:rsidR="00DA0EAC" w:rsidRPr="00103E0F">
        <w:rPr>
          <w:rFonts w:ascii="Times New Roman" w:hAnsi="Times New Roman" w:cs="Times New Roman"/>
          <w:sz w:val="28"/>
          <w:szCs w:val="28"/>
        </w:rPr>
        <w:t xml:space="preserve"> «</w:t>
      </w:r>
      <w:r w:rsidRPr="00103E0F">
        <w:rPr>
          <w:rFonts w:ascii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ФЕДЕРАЦИИ»</w:t>
      </w:r>
      <w:r w:rsidRPr="0010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E0F">
        <w:rPr>
          <w:rFonts w:ascii="Times New Roman" w:hAnsi="Times New Roman" w:cs="Times New Roman"/>
          <w:sz w:val="28"/>
          <w:szCs w:val="28"/>
        </w:rPr>
        <w:t>2 мандата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30146B" w14:textId="278CFDBA" w:rsidR="00103E0F" w:rsidRPr="00103E0F" w:rsidRDefault="00103E0F" w:rsidP="00103E0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 </w:t>
      </w:r>
      <w:r w:rsidRPr="00103E0F">
        <w:rPr>
          <w:rFonts w:ascii="Times New Roman" w:hAnsi="Times New Roman" w:cs="Times New Roman"/>
          <w:sz w:val="28"/>
          <w:szCs w:val="28"/>
          <w:lang w:eastAsia="ru-RU"/>
        </w:rPr>
        <w:t>Калининградское региональное отделение ЛДПР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-1 мандат;</w:t>
      </w:r>
    </w:p>
    <w:p w14:paraId="79AC4143" w14:textId="486D8528" w:rsidR="00103E0F" w:rsidRDefault="00103E0F" w:rsidP="00103E0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р</w:t>
      </w:r>
      <w:r w:rsidRPr="00103E0F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партии «РОДИНА» в Калининградской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 мандат.</w:t>
      </w:r>
    </w:p>
    <w:p w14:paraId="2C9A33F0" w14:textId="7781A9CF" w:rsidR="00F860C0" w:rsidRPr="00103E0F" w:rsidRDefault="00F860C0" w:rsidP="00F860C0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Десять депутатов были избраны по одномандатным избирательным округам. </w:t>
      </w:r>
    </w:p>
    <w:p w14:paraId="172A24CA" w14:textId="7171E849" w:rsidR="00103E0F" w:rsidRDefault="00103E0F" w:rsidP="00F860C0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415F">
        <w:rPr>
          <w:rFonts w:ascii="Times New Roman" w:hAnsi="Times New Roman" w:cs="Times New Roman"/>
          <w:sz w:val="28"/>
          <w:szCs w:val="28"/>
        </w:rPr>
        <w:t xml:space="preserve">  </w:t>
      </w:r>
      <w:r w:rsidRPr="00103E0F">
        <w:rPr>
          <w:rFonts w:ascii="Times New Roman" w:hAnsi="Times New Roman" w:cs="Times New Roman"/>
          <w:sz w:val="28"/>
          <w:szCs w:val="28"/>
        </w:rPr>
        <w:t>В состав окружного Совета депутатов второго созыва во</w:t>
      </w:r>
      <w:r>
        <w:rPr>
          <w:rFonts w:ascii="Times New Roman" w:hAnsi="Times New Roman" w:cs="Times New Roman"/>
          <w:sz w:val="28"/>
          <w:szCs w:val="28"/>
        </w:rPr>
        <w:t>шл</w:t>
      </w:r>
      <w:r w:rsidRPr="00103E0F">
        <w:rPr>
          <w:rFonts w:ascii="Times New Roman" w:hAnsi="Times New Roman" w:cs="Times New Roman"/>
          <w:sz w:val="28"/>
          <w:szCs w:val="28"/>
        </w:rPr>
        <w:t xml:space="preserve">и </w:t>
      </w:r>
      <w:r w:rsidR="00C44790">
        <w:rPr>
          <w:rFonts w:ascii="Times New Roman" w:hAnsi="Times New Roman" w:cs="Times New Roman"/>
          <w:sz w:val="28"/>
          <w:szCs w:val="28"/>
        </w:rPr>
        <w:t xml:space="preserve">люди, обладающие авторитетом и пользующиеся уважением жителей, люди с активной жизненной позицией и желанием трудиться.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03E0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4790">
        <w:rPr>
          <w:rFonts w:ascii="Times New Roman" w:hAnsi="Times New Roman" w:cs="Times New Roman"/>
          <w:sz w:val="28"/>
          <w:szCs w:val="28"/>
        </w:rPr>
        <w:t xml:space="preserve"> </w:t>
      </w:r>
      <w:r w:rsidR="0086700B">
        <w:rPr>
          <w:rFonts w:ascii="Times New Roman" w:hAnsi="Times New Roman" w:cs="Times New Roman"/>
          <w:sz w:val="28"/>
          <w:szCs w:val="28"/>
        </w:rPr>
        <w:t>были повторно избраны в новый состав окружного Совета депутатов, тем самым подтвердив доверие населения</w:t>
      </w:r>
      <w:r w:rsidR="00C44790">
        <w:rPr>
          <w:rFonts w:ascii="Times New Roman" w:hAnsi="Times New Roman" w:cs="Times New Roman"/>
          <w:sz w:val="28"/>
          <w:szCs w:val="28"/>
        </w:rPr>
        <w:t xml:space="preserve">. В настоящее время сложилась работоспособная команда, готовая работать в интересах жителей и динамичного развития муниципального образования. </w:t>
      </w:r>
    </w:p>
    <w:p w14:paraId="601BC508" w14:textId="09CFC4CC" w:rsidR="00FB2CBF" w:rsidRPr="00103E0F" w:rsidRDefault="00896930" w:rsidP="00F860C0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41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Повседневная деятельность окружного Совета депутатов строится во благо избирателей. Роль представительного органа в том, чтобы на нашей территории мы создавали необходимые условия жизни населения, конструктивно взаимодействовали с исполнительной властью. В 2021 году нам предстоит закрепить все положительное, что было наработано в предыдущие годы.</w:t>
      </w:r>
    </w:p>
    <w:p w14:paraId="7C38D424" w14:textId="77777777" w:rsidR="0024415F" w:rsidRDefault="00103E0F" w:rsidP="0024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0F">
        <w:rPr>
          <w:rFonts w:ascii="Times New Roman" w:hAnsi="Times New Roman" w:cs="Times New Roman"/>
          <w:sz w:val="44"/>
          <w:szCs w:val="44"/>
        </w:rPr>
        <w:t xml:space="preserve"> </w:t>
      </w:r>
      <w:r w:rsidR="007E7094" w:rsidRPr="00826801">
        <w:rPr>
          <w:rFonts w:ascii="Times New Roman" w:hAnsi="Times New Roman" w:cs="Times New Roman"/>
          <w:sz w:val="28"/>
          <w:szCs w:val="28"/>
        </w:rPr>
        <w:t xml:space="preserve">     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Нормативные правовые акты представительного органа требуют постоянного анализа и корректировки с учетом изменений федерального и регионального законодательства. В планах работы </w:t>
      </w:r>
      <w:r w:rsidR="000B5843" w:rsidRPr="00826801">
        <w:rPr>
          <w:rFonts w:ascii="Times New Roman" w:hAnsi="Times New Roman" w:cs="Times New Roman"/>
          <w:sz w:val="28"/>
          <w:szCs w:val="28"/>
        </w:rPr>
        <w:t>-</w:t>
      </w:r>
      <w:r w:rsidR="00D01CA6" w:rsidRPr="00826801">
        <w:rPr>
          <w:rFonts w:ascii="Times New Roman" w:hAnsi="Times New Roman" w:cs="Times New Roman"/>
          <w:sz w:val="28"/>
          <w:szCs w:val="28"/>
        </w:rPr>
        <w:t xml:space="preserve"> принятие новых решений с учетом совершенствования действующего законодательства.</w:t>
      </w:r>
      <w:r w:rsidR="00FA4185" w:rsidRPr="0082680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9A439B" w14:textId="5D753DB6" w:rsidR="00896930" w:rsidRDefault="00FB2CBF" w:rsidP="0024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41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на благо жителей Зеленоградского городского округа.</w:t>
      </w:r>
      <w:r w:rsidR="0089693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96930" w:rsidSect="0003709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13947"/>
    <w:multiLevelType w:val="hybridMultilevel"/>
    <w:tmpl w:val="823220B0"/>
    <w:lvl w:ilvl="0" w:tplc="149E7860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972669"/>
    <w:multiLevelType w:val="hybridMultilevel"/>
    <w:tmpl w:val="055E1FDA"/>
    <w:lvl w:ilvl="0" w:tplc="4C7A5D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7031A3"/>
    <w:multiLevelType w:val="hybridMultilevel"/>
    <w:tmpl w:val="025C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3"/>
    <w:multiLevelType w:val="hybridMultilevel"/>
    <w:tmpl w:val="CFE0852E"/>
    <w:lvl w:ilvl="0" w:tplc="679AED3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0027"/>
    <w:multiLevelType w:val="hybridMultilevel"/>
    <w:tmpl w:val="F8CE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9"/>
    <w:rsid w:val="000113C8"/>
    <w:rsid w:val="00037093"/>
    <w:rsid w:val="0004448B"/>
    <w:rsid w:val="000820CF"/>
    <w:rsid w:val="00082802"/>
    <w:rsid w:val="000958D0"/>
    <w:rsid w:val="000B5843"/>
    <w:rsid w:val="000C7535"/>
    <w:rsid w:val="00103E0F"/>
    <w:rsid w:val="00162B74"/>
    <w:rsid w:val="00166842"/>
    <w:rsid w:val="001720C0"/>
    <w:rsid w:val="00197B52"/>
    <w:rsid w:val="001A7AA1"/>
    <w:rsid w:val="001B18E9"/>
    <w:rsid w:val="001C28EA"/>
    <w:rsid w:val="001D45F8"/>
    <w:rsid w:val="00200617"/>
    <w:rsid w:val="00206FD6"/>
    <w:rsid w:val="00217C91"/>
    <w:rsid w:val="00221F42"/>
    <w:rsid w:val="00224A43"/>
    <w:rsid w:val="002333F1"/>
    <w:rsid w:val="0024415F"/>
    <w:rsid w:val="00250E64"/>
    <w:rsid w:val="00262462"/>
    <w:rsid w:val="00280A8B"/>
    <w:rsid w:val="00287889"/>
    <w:rsid w:val="00295349"/>
    <w:rsid w:val="002C41D8"/>
    <w:rsid w:val="002D341C"/>
    <w:rsid w:val="002F4DA8"/>
    <w:rsid w:val="002F7A84"/>
    <w:rsid w:val="00312DD9"/>
    <w:rsid w:val="00337583"/>
    <w:rsid w:val="003449CC"/>
    <w:rsid w:val="0035694C"/>
    <w:rsid w:val="003B2AB0"/>
    <w:rsid w:val="003B4CD6"/>
    <w:rsid w:val="004037DA"/>
    <w:rsid w:val="004558F8"/>
    <w:rsid w:val="00470D01"/>
    <w:rsid w:val="00470E50"/>
    <w:rsid w:val="00486957"/>
    <w:rsid w:val="00497046"/>
    <w:rsid w:val="004A0A3C"/>
    <w:rsid w:val="004B589B"/>
    <w:rsid w:val="004C2224"/>
    <w:rsid w:val="004D1F6B"/>
    <w:rsid w:val="004D4A06"/>
    <w:rsid w:val="004D6E19"/>
    <w:rsid w:val="004F047F"/>
    <w:rsid w:val="004F5012"/>
    <w:rsid w:val="00505782"/>
    <w:rsid w:val="00510CB7"/>
    <w:rsid w:val="00512A2E"/>
    <w:rsid w:val="00516836"/>
    <w:rsid w:val="00517C66"/>
    <w:rsid w:val="00534277"/>
    <w:rsid w:val="00536A7D"/>
    <w:rsid w:val="005457CC"/>
    <w:rsid w:val="00546657"/>
    <w:rsid w:val="00550CF4"/>
    <w:rsid w:val="005679E8"/>
    <w:rsid w:val="005A1D1B"/>
    <w:rsid w:val="005C5A5F"/>
    <w:rsid w:val="005C6668"/>
    <w:rsid w:val="005D1C92"/>
    <w:rsid w:val="005D633A"/>
    <w:rsid w:val="005E02B8"/>
    <w:rsid w:val="00601B7B"/>
    <w:rsid w:val="0060505E"/>
    <w:rsid w:val="00605C45"/>
    <w:rsid w:val="00617B89"/>
    <w:rsid w:val="006259D4"/>
    <w:rsid w:val="00675D5D"/>
    <w:rsid w:val="00676CF5"/>
    <w:rsid w:val="006C2F36"/>
    <w:rsid w:val="006D055D"/>
    <w:rsid w:val="006D7090"/>
    <w:rsid w:val="006E64FD"/>
    <w:rsid w:val="006E76AE"/>
    <w:rsid w:val="006F3AAE"/>
    <w:rsid w:val="00737F4C"/>
    <w:rsid w:val="00746EEA"/>
    <w:rsid w:val="00752A96"/>
    <w:rsid w:val="00755499"/>
    <w:rsid w:val="00780AA6"/>
    <w:rsid w:val="007C0844"/>
    <w:rsid w:val="007C3AAF"/>
    <w:rsid w:val="007C51D9"/>
    <w:rsid w:val="007D18F3"/>
    <w:rsid w:val="007D254F"/>
    <w:rsid w:val="007E7094"/>
    <w:rsid w:val="00826801"/>
    <w:rsid w:val="00836196"/>
    <w:rsid w:val="00837276"/>
    <w:rsid w:val="0083754D"/>
    <w:rsid w:val="008467ED"/>
    <w:rsid w:val="00852538"/>
    <w:rsid w:val="00856566"/>
    <w:rsid w:val="0086069E"/>
    <w:rsid w:val="008649BA"/>
    <w:rsid w:val="008663D9"/>
    <w:rsid w:val="0086700B"/>
    <w:rsid w:val="00871E29"/>
    <w:rsid w:val="00873615"/>
    <w:rsid w:val="00896930"/>
    <w:rsid w:val="00896C6E"/>
    <w:rsid w:val="008B5982"/>
    <w:rsid w:val="008C16A8"/>
    <w:rsid w:val="008C4A2B"/>
    <w:rsid w:val="008E1E16"/>
    <w:rsid w:val="008F6191"/>
    <w:rsid w:val="008F7E68"/>
    <w:rsid w:val="009412EB"/>
    <w:rsid w:val="00980423"/>
    <w:rsid w:val="0098073C"/>
    <w:rsid w:val="00995204"/>
    <w:rsid w:val="009B74A7"/>
    <w:rsid w:val="009D7A8F"/>
    <w:rsid w:val="009E2C0A"/>
    <w:rsid w:val="009F7206"/>
    <w:rsid w:val="009F75D3"/>
    <w:rsid w:val="00A052A6"/>
    <w:rsid w:val="00A13F19"/>
    <w:rsid w:val="00A20045"/>
    <w:rsid w:val="00A601E2"/>
    <w:rsid w:val="00A63230"/>
    <w:rsid w:val="00A723B9"/>
    <w:rsid w:val="00A76FE4"/>
    <w:rsid w:val="00AA0BEC"/>
    <w:rsid w:val="00AC4AD0"/>
    <w:rsid w:val="00AD49AC"/>
    <w:rsid w:val="00AD7BFD"/>
    <w:rsid w:val="00AF0AB9"/>
    <w:rsid w:val="00AF53DE"/>
    <w:rsid w:val="00AF6CC7"/>
    <w:rsid w:val="00B04C7B"/>
    <w:rsid w:val="00B06A28"/>
    <w:rsid w:val="00B11269"/>
    <w:rsid w:val="00B343CE"/>
    <w:rsid w:val="00B36D41"/>
    <w:rsid w:val="00B446C5"/>
    <w:rsid w:val="00B45C97"/>
    <w:rsid w:val="00B52EE8"/>
    <w:rsid w:val="00BC438E"/>
    <w:rsid w:val="00BD4D2F"/>
    <w:rsid w:val="00C178CF"/>
    <w:rsid w:val="00C36B9F"/>
    <w:rsid w:val="00C44790"/>
    <w:rsid w:val="00C514AD"/>
    <w:rsid w:val="00C577C0"/>
    <w:rsid w:val="00C71D78"/>
    <w:rsid w:val="00C72B45"/>
    <w:rsid w:val="00C84B92"/>
    <w:rsid w:val="00C8716A"/>
    <w:rsid w:val="00C97B13"/>
    <w:rsid w:val="00CA0938"/>
    <w:rsid w:val="00CA5B1C"/>
    <w:rsid w:val="00CB238B"/>
    <w:rsid w:val="00CB4F44"/>
    <w:rsid w:val="00CB62E7"/>
    <w:rsid w:val="00CC782C"/>
    <w:rsid w:val="00CD616C"/>
    <w:rsid w:val="00CE529A"/>
    <w:rsid w:val="00CF7850"/>
    <w:rsid w:val="00D01CA6"/>
    <w:rsid w:val="00D25792"/>
    <w:rsid w:val="00D57EF1"/>
    <w:rsid w:val="00D77AC3"/>
    <w:rsid w:val="00D9657D"/>
    <w:rsid w:val="00D978AC"/>
    <w:rsid w:val="00DA0DE0"/>
    <w:rsid w:val="00DA0EAC"/>
    <w:rsid w:val="00DC3A4C"/>
    <w:rsid w:val="00DC57C7"/>
    <w:rsid w:val="00DD2314"/>
    <w:rsid w:val="00DD4558"/>
    <w:rsid w:val="00DE4DF2"/>
    <w:rsid w:val="00DE78B8"/>
    <w:rsid w:val="00DF1D2E"/>
    <w:rsid w:val="00DF4965"/>
    <w:rsid w:val="00E32415"/>
    <w:rsid w:val="00E5173A"/>
    <w:rsid w:val="00E61805"/>
    <w:rsid w:val="00E664F7"/>
    <w:rsid w:val="00E72125"/>
    <w:rsid w:val="00E7472E"/>
    <w:rsid w:val="00E874F0"/>
    <w:rsid w:val="00EA1393"/>
    <w:rsid w:val="00ED0AD0"/>
    <w:rsid w:val="00EF6A3F"/>
    <w:rsid w:val="00F142EE"/>
    <w:rsid w:val="00F15A16"/>
    <w:rsid w:val="00F16B97"/>
    <w:rsid w:val="00F20F74"/>
    <w:rsid w:val="00F46D16"/>
    <w:rsid w:val="00F860C0"/>
    <w:rsid w:val="00FA4185"/>
    <w:rsid w:val="00FA5BC8"/>
    <w:rsid w:val="00FA6A1D"/>
    <w:rsid w:val="00FB2CBF"/>
    <w:rsid w:val="00FC25EF"/>
    <w:rsid w:val="00FC3CBF"/>
    <w:rsid w:val="00FD3B03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6262"/>
  <w15:chartTrackingRefBased/>
  <w15:docId w15:val="{A24DC9DC-E6BA-4D76-8E9A-6B634202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A6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62462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2F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A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38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6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.xlsm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.xlsm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Налоговые</a:t>
            </a:r>
            <a:r>
              <a:rPr lang="ru-RU" baseline="0"/>
              <a:t> доходы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Имущественные налоги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250.5</c:v>
                </c:pt>
                <c:pt idx="1">
                  <c:v>53.7</c:v>
                </c:pt>
                <c:pt idx="2">
                  <c:v>115.7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E-4718-88D4-D7B3CE221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Имущественные налоги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215</c:v>
                </c:pt>
                <c:pt idx="1">
                  <c:v>54.1</c:v>
                </c:pt>
                <c:pt idx="2">
                  <c:v>126.9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3E-4718-88D4-D7B3CE221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15493768"/>
        <c:axId val="-2138447896"/>
        <c:axId val="2135850024"/>
      </c:bar3DChart>
      <c:catAx>
        <c:axId val="-21154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8447896"/>
        <c:crosses val="autoZero"/>
        <c:auto val="1"/>
        <c:lblAlgn val="ctr"/>
        <c:lblOffset val="100"/>
        <c:noMultiLvlLbl val="0"/>
      </c:catAx>
      <c:valAx>
        <c:axId val="-2138447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15493768"/>
        <c:crosses val="autoZero"/>
        <c:crossBetween val="between"/>
      </c:valAx>
      <c:serAx>
        <c:axId val="21358500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84478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rgbClr val="F4B183"/>
            </a:solidFill>
            <a:ln w="25398">
              <a:noFill/>
            </a:ln>
          </c:spPr>
          <c:invertIfNegative val="0"/>
          <c:dLbls>
            <c:dLbl>
              <c:idx val="2"/>
              <c:layout>
                <c:manualLayout>
                  <c:x val="1.8334605099394202E-2"/>
                  <c:y val="-6.31163786505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5C-4C93-AED8-F04F180BED98}"/>
                </c:ext>
              </c:extLst>
            </c:dLbl>
            <c:dLbl>
              <c:idx val="4"/>
              <c:layout>
                <c:manualLayout>
                  <c:x val="8.1487133775085506E-3"/>
                  <c:y val="-1.157120241441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5C-4C93-AED8-F04F180BED98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Аренда земельных участков </c:v>
                </c:pt>
                <c:pt idx="1">
                  <c:v>Продажа земельных участков </c:v>
                </c:pt>
                <c:pt idx="2">
                  <c:v>Аренда имущества </c:v>
                </c:pt>
                <c:pt idx="3">
                  <c:v>Продажа имущества </c:v>
                </c:pt>
                <c:pt idx="4">
                  <c:v>Прочие неналоговые поступлений 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70</c:v>
                </c:pt>
                <c:pt idx="1">
                  <c:v>15</c:v>
                </c:pt>
                <c:pt idx="2">
                  <c:v>2</c:v>
                </c:pt>
                <c:pt idx="3">
                  <c:v>32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5C-4C93-AED8-F04F180BED98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7030A0"/>
            </a:solidFill>
            <a:ln w="25398">
              <a:noFill/>
            </a:ln>
          </c:spPr>
          <c:invertIfNegative val="0"/>
          <c:dLbls>
            <c:dLbl>
              <c:idx val="0"/>
              <c:layout>
                <c:manualLayout>
                  <c:x val="2.0371783443771399E-2"/>
                  <c:y val="-6.31163786505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5C-4C93-AED8-F04F180BED98}"/>
                </c:ext>
              </c:extLst>
            </c:dLbl>
            <c:dLbl>
              <c:idx val="1"/>
              <c:layout>
                <c:manualLayout>
                  <c:x val="1.8334605099394202E-2"/>
                  <c:y val="-1.2623275730112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5C-4C93-AED8-F04F180BED98}"/>
                </c:ext>
              </c:extLst>
            </c:dLbl>
            <c:dLbl>
              <c:idx val="2"/>
              <c:layout>
                <c:manualLayout>
                  <c:x val="2.24089617881483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5C-4C93-AED8-F04F180BED98}"/>
                </c:ext>
              </c:extLst>
            </c:dLbl>
            <c:dLbl>
              <c:idx val="3"/>
              <c:layout>
                <c:manualLayout>
                  <c:x val="2.03717834437715E-2"/>
                  <c:y val="-9.4674567975844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5C-4C93-AED8-F04F180BED98}"/>
                </c:ext>
              </c:extLst>
            </c:dLbl>
            <c:dLbl>
              <c:idx val="4"/>
              <c:layout>
                <c:manualLayout>
                  <c:x val="2.0371783443771201E-2"/>
                  <c:y val="-3.1558189325280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5C-4C93-AED8-F04F180BED98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Аренда земельных участков </c:v>
                </c:pt>
                <c:pt idx="1">
                  <c:v>Продажа земельных участков </c:v>
                </c:pt>
                <c:pt idx="2">
                  <c:v>Аренда имущества </c:v>
                </c:pt>
                <c:pt idx="3">
                  <c:v>Продажа имущества </c:v>
                </c:pt>
                <c:pt idx="4">
                  <c:v>Прочие неналоговые поступлений 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113</c:v>
                </c:pt>
                <c:pt idx="1">
                  <c:v>55.8</c:v>
                </c:pt>
                <c:pt idx="2">
                  <c:v>2</c:v>
                </c:pt>
                <c:pt idx="3">
                  <c:v>21.3</c:v>
                </c:pt>
                <c:pt idx="4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5C-4C93-AED8-F04F180BE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5149608"/>
        <c:axId val="-2135146296"/>
        <c:axId val="0"/>
      </c:bar3DChart>
      <c:catAx>
        <c:axId val="-2135149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9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135146296"/>
        <c:crosses val="autoZero"/>
        <c:auto val="1"/>
        <c:lblAlgn val="ctr"/>
        <c:lblOffset val="100"/>
        <c:noMultiLvlLbl val="0"/>
      </c:catAx>
      <c:valAx>
        <c:axId val="-21351462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49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13514960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322981366459627"/>
          <c:y val="0.92335766423357701"/>
          <c:w val="0.34782608695652201"/>
          <c:h val="5.8394160583941597E-2"/>
        </c:manualLayout>
      </c:layout>
      <c:overlay val="0"/>
      <c:spPr>
        <a:noFill/>
        <a:ln w="25398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C0C0C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5B9BD5"/>
            </a:solidFill>
            <a:ln w="25398">
              <a:noFill/>
            </a:ln>
          </c:spPr>
          <c:explosion val="17"/>
          <c:dPt>
            <c:idx val="0"/>
            <c:bubble3D val="0"/>
            <c:explosion val="27"/>
            <c:spPr>
              <a:solidFill>
                <a:srgbClr val="5B9BD5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4A2-48FF-920A-5AB6E0250025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A2-48FF-920A-5AB6E0250025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4A2-48FF-920A-5AB6E0250025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4A2-48FF-920A-5AB6E0250025}"/>
              </c:ext>
            </c:extLst>
          </c:dPt>
          <c:dPt>
            <c:idx val="4"/>
            <c:bubble3D val="0"/>
            <c:spPr>
              <a:solidFill>
                <a:srgbClr val="4472C4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4A2-48FF-920A-5AB6E0250025}"/>
              </c:ext>
            </c:extLst>
          </c:dPt>
          <c:dPt>
            <c:idx val="5"/>
            <c:bubble3D val="0"/>
            <c:spPr>
              <a:solidFill>
                <a:srgbClr val="70AD47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4A2-48FF-920A-5AB6E0250025}"/>
              </c:ext>
            </c:extLst>
          </c:dPt>
          <c:dPt>
            <c:idx val="6"/>
            <c:bubble3D val="0"/>
            <c:spPr>
              <a:solidFill>
                <a:srgbClr val="255E91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4A2-48FF-920A-5AB6E0250025}"/>
              </c:ext>
            </c:extLst>
          </c:dPt>
          <c:dPt>
            <c:idx val="7"/>
            <c:bubble3D val="0"/>
            <c:spPr>
              <a:solidFill>
                <a:srgbClr val="9E480E"/>
              </a:solid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4A2-48FF-920A-5AB6E0250025}"/>
              </c:ext>
            </c:extLst>
          </c:dPt>
          <c:dLbls>
            <c:dLbl>
              <c:idx val="0"/>
              <c:layout>
                <c:manualLayout>
                  <c:x val="-4.7158899640061099E-2"/>
                  <c:y val="6.46680185858437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A2-48FF-920A-5AB6E0250025}"/>
                </c:ext>
              </c:extLst>
            </c:dLbl>
            <c:dLbl>
              <c:idx val="4"/>
              <c:layout>
                <c:manualLayout>
                  <c:x val="6.9972480118170701E-4"/>
                  <c:y val="-8.375565583304409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A2-48FF-920A-5AB6E0250025}"/>
                </c:ext>
              </c:extLst>
            </c:dLbl>
            <c:dLbl>
              <c:idx val="5"/>
              <c:layout>
                <c:manualLayout>
                  <c:x val="-1.56065463767991E-2"/>
                  <c:y val="-8.6946672269214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4A2-48FF-920A-5AB6E025002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4A2-48FF-920A-5AB6E0250025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4A2-48FF-920A-5AB6E0250025}"/>
                </c:ext>
              </c:extLst>
            </c:dLbl>
            <c:spPr>
              <a:pattFill prst="pct75">
                <a:fgClr>
                  <a:srgbClr val="404040"/>
                </a:fgClr>
                <a:bgClr>
                  <a:srgbClr val="595959"/>
                </a:bgClr>
              </a:pattFill>
              <a:ln w="2539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3175">
                  <a:solidFill>
                    <a:srgbClr val="808080"/>
                  </a:solidFill>
                  <a:prstDash val="solid"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Социальной политики </c:v>
                </c:pt>
                <c:pt idx="6">
                  <c:v>Физическая культура и спорт</c:v>
                </c:pt>
                <c:pt idx="7">
                  <c:v>СМИ</c:v>
                </c:pt>
              </c:strCache>
            </c:strRef>
          </c:cat>
          <c:val>
            <c:numRef>
              <c:f>Лист4!$B$2:$B$9</c:f>
              <c:numCache>
                <c:formatCode>#\ ##0.0</c:formatCode>
                <c:ptCount val="8"/>
                <c:pt idx="0">
                  <c:v>151.5</c:v>
                </c:pt>
                <c:pt idx="1">
                  <c:v>206.6</c:v>
                </c:pt>
                <c:pt idx="2">
                  <c:v>389.1</c:v>
                </c:pt>
                <c:pt idx="3">
                  <c:v>552.5</c:v>
                </c:pt>
                <c:pt idx="4">
                  <c:v>87.8</c:v>
                </c:pt>
                <c:pt idx="5">
                  <c:v>32.4</c:v>
                </c:pt>
                <c:pt idx="6">
                  <c:v>0.4</c:v>
                </c:pt>
                <c:pt idx="7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4A2-48FF-920A-5AB6E0250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6359447004608296"/>
          <c:y val="0.10357142857142899"/>
          <c:w val="0.32027649769585198"/>
          <c:h val="0.79285714285714304"/>
        </c:manualLayout>
      </c:layout>
      <c:overlay val="0"/>
      <c:spPr>
        <a:solidFill>
          <a:srgbClr val="F2F2F2">
            <a:alpha val="38824"/>
          </a:srgbClr>
        </a:solidFill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39000">
          <a:srgbClr val="FFFFFF"/>
        </a:gs>
        <a:gs pos="100000">
          <a:srgbClr val="BFBFBF"/>
        </a:gs>
      </a:gsLst>
      <a:path path="rect">
        <a:fillToRect l="50000" t="-80000" r="50000" b="180000"/>
      </a:path>
    </a:gradFill>
    <a:ln w="3175">
      <a:solidFill>
        <a:srgbClr val="C0C0C0"/>
      </a:solidFill>
      <a:prstDash val="solid"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FB59-07F4-4828-8968-9AB92F11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110</cp:revision>
  <cp:lastPrinted>2021-02-24T13:08:00Z</cp:lastPrinted>
  <dcterms:created xsi:type="dcterms:W3CDTF">2019-01-28T13:31:00Z</dcterms:created>
  <dcterms:modified xsi:type="dcterms:W3CDTF">2021-03-01T15:03:00Z</dcterms:modified>
</cp:coreProperties>
</file>